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1A2744" w:val="clear"/>
          </w:tcPr>
          <w:p>
            <w:pPr>
              <w:jc w:val="center"/>
            </w:pPr>
            <w:r>
              <w:rPr>
                <w:b/>
                <w:color w:val="C9A24A"/>
                <w:sz w:val="28"/>
              </w:rPr>
              <w:br/>
              <w:t>GAB EVENT</w:t>
              <w:br/>
            </w:r>
            <w:r>
              <w:rPr>
                <w:color w:val="FFFFFF"/>
                <w:sz w:val="22"/>
              </w:rPr>
              <w:t>ADMINISTRATION PLATEFORME</w:t>
              <w:br/>
            </w:r>
            <w:r>
              <w:rPr>
                <w:b/>
                <w:color w:val="FFFFFF"/>
                <w:sz w:val="56"/>
              </w:rPr>
              <w:t>Guide technique admin</w:t>
              <w:br/>
            </w:r>
            <w:r>
              <w:rPr>
                <w:color w:val="E8D6A8"/>
                <w:sz w:val="24"/>
              </w:rPr>
              <w:t>Installation, maintenance et exploitation quotidienne</w:t>
              <w:br/>
              <w:br/>
            </w:r>
          </w:p>
        </w:tc>
      </w:tr>
    </w:tbl>
    <w:p/>
    <w:p>
      <w:pPr>
        <w:jc w:val="center"/>
      </w:pPr>
      <w:r>
        <w:rPr>
          <w:color w:val="5C6780"/>
          <w:sz w:val="22"/>
        </w:rPr>
        <w:t>Public : Administrateurs système &amp; opérateurs plateforme</w:t>
        <w:br/>
        <w:t>Version documentation — prêt production</w:t>
        <w:br/>
      </w:r>
    </w:p>
    <w:p>
      <w:r>
        <w:br w:type="page"/>
      </w:r>
    </w:p>
    <w:p>
      <w:pPr>
        <w:pStyle w:val="Heading1"/>
      </w:pPr>
      <w:r>
        <w:t>1. Rôles et accès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Accès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Organisateur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Espace événements + billetterie de ses propres ventes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Staff Django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/admin/ (modèles, utilisateurs)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Platform admin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/platform-admin/ (console métier : users, paiements, CMS)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Superuser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Tous les droits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E2E2" w:val="clear"/>
          </w:tcPr>
          <w:p>
            <w:r>
              <w:rPr>
                <w:b/>
                <w:color w:val="1A2744"/>
                <w:sz w:val="22"/>
              </w:rPr>
              <w:t>Sécurité</w:t>
            </w:r>
          </w:p>
          <w:p>
            <w:r>
              <w:rPr>
                <w:color w:val="5C6780"/>
                <w:sz w:val="20"/>
              </w:rPr>
              <w:t>En production : DEBUG=False, ALLOW_MOCK_PAYMENTS=False, SECRET_KEY unique, HTTPS obligatoire, superuser réservé à 1–2 personnes de confiance.</w:t>
            </w:r>
          </w:p>
        </w:tc>
      </w:tr>
    </w:tbl>
    <w:p/>
    <w:p>
      <w:pPr>
        <w:pStyle w:val="Heading1"/>
      </w:pPr>
      <w:r>
        <w:t>2. Installation locale (admin développeur)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3F7" w:val="clear"/>
          </w:tcPr>
          <w:p>
            <w:r>
              <w:rPr>
                <w:rFonts w:ascii="Consolas" w:hAnsi="Consolas"/>
                <w:color w:val="1A2744"/>
                <w:sz w:val="18"/>
              </w:rPr>
              <w:t>cd Gab-Event</w:t>
              <w:br/>
              <w:t>python -m venv venv</w:t>
              <w:br/>
              <w:t># Windows: .\venv\Scripts\Activate.ps1</w:t>
              <w:br/>
              <w:t># Linux/macOS: source venv/bin/activate</w:t>
              <w:br/>
              <w:t>pip install -r requirements.txt</w:t>
              <w:br/>
              <w:t>copy .env.example .env   # ou cp .env.example .env</w:t>
              <w:br/>
              <w:t># Éditer SECRET_KEY, DEBUG=True pour le local uniquement</w:t>
              <w:br/>
              <w:t>python manage.py migrate</w:t>
              <w:br/>
              <w:t>python manage.py createsuperuser</w:t>
              <w:br/>
              <w:t>python manage.py runserver</w:t>
            </w:r>
          </w:p>
        </w:tc>
      </w:tr>
    </w:tbl>
    <w:p/>
    <w:p>
      <w:pPr>
        <w:pStyle w:val="Heading1"/>
      </w:pPr>
      <w:r>
        <w:t>3. Console platform-admin</w:t>
      </w:r>
    </w:p>
    <w:p>
      <w:pPr>
        <w:pStyle w:val="ListBullet"/>
      </w:pPr>
      <w:r>
        <w:t>Utilisateurs : activation, quotas, recherche.</w:t>
      </w:r>
    </w:p>
    <w:p>
      <w:pPr>
        <w:pStyle w:val="ListBullet"/>
      </w:pPr>
      <w:r>
        <w:t>Événements : statut, archivage, vue propriétaire.</w:t>
      </w:r>
    </w:p>
    <w:p>
      <w:pPr>
        <w:pStyle w:val="ListBullet"/>
      </w:pPr>
      <w:r>
        <w:t>Paiements / Billetterie : ledger, commissions, reversements.</w:t>
      </w:r>
    </w:p>
    <w:p>
      <w:pPr>
        <w:pStyle w:val="ListBullet"/>
      </w:pPr>
      <w:r>
        <w:t>Config site : logo, textes landing, commission_pct, allow_mock_payments.</w:t>
      </w:r>
    </w:p>
    <w:p>
      <w:pPr>
        <w:pStyle w:val="ListBullet"/>
      </w:pPr>
      <w:r>
        <w:t>FAQ, catégories, formules (plans).</w:t>
      </w:r>
    </w:p>
    <w:p>
      <w:r>
        <w:t>La case « paiements mock » ne doit rester cochée qu’en DEBUG. Dès que SingPay est branché, décochez-la.</w:t>
      </w:r>
    </w:p>
    <w:p>
      <w:pPr>
        <w:pStyle w:val="Heading1"/>
      </w:pPr>
      <w:r>
        <w:t>4. Paiements &amp; SingPay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873"/>
            <w:shd w:fill="1A2744" w:val="clear"/>
          </w:tcPr>
          <w:p>
            <w:r>
              <w:rPr>
                <w:b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PAYMENT_PROVIDER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mock | singpay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SINGPAY_API_KEY / SECRET / MERCHANT_ID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Identifiants marchand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SINGPAY_ENVIRONMENT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sandbox ou live</w:t>
            </w:r>
          </w:p>
        </w:tc>
      </w:tr>
      <w:tr>
        <w:tc>
          <w:tcPr>
            <w:tcW w:type="dxa" w:w="4873"/>
          </w:tcPr>
          <w:p>
            <w:r>
              <w:rPr>
                <w:color w:val="1A2744"/>
                <w:sz w:val="20"/>
              </w:rPr>
              <w:t>PUBLIC_BASE_URL</w:t>
            </w:r>
          </w:p>
        </w:tc>
        <w:tc>
          <w:tcPr>
            <w:tcW w:type="dxa" w:w="4873"/>
          </w:tcPr>
          <w:p>
            <w:r>
              <w:rPr>
                <w:color w:val="1A2744"/>
                <w:sz w:val="20"/>
              </w:rPr>
              <w:t>URL publique pour callbacks</w:t>
            </w:r>
          </w:p>
        </w:tc>
      </w:tr>
      <w:tr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ALLOW_MOCK_PAYMENTS</w:t>
            </w:r>
          </w:p>
        </w:tc>
        <w:tc>
          <w:tcPr>
            <w:tcW w:type="dxa" w:w="4873"/>
            <w:shd w:fill="FBF7F0" w:val="clear"/>
          </w:tcPr>
          <w:p>
            <w:r>
              <w:rPr>
                <w:color w:val="1A2744"/>
                <w:sz w:val="20"/>
              </w:rPr>
              <w:t>False en production</w:t>
            </w:r>
          </w:p>
        </w:tc>
      </w:tr>
    </w:tbl>
    <w:p/>
    <w:p>
      <w:pPr>
        <w:pStyle w:val="Heading2"/>
      </w:pPr>
      <w:r>
        <w:t>4.1 Checklist avant go-live paiement</w:t>
      </w:r>
    </w:p>
    <w:p>
      <w:pPr>
        <w:pStyle w:val="ListNumber"/>
      </w:pPr>
      <w:r>
        <w:t>Clés SingPay live validées.</w:t>
      </w:r>
    </w:p>
    <w:p>
      <w:pPr>
        <w:pStyle w:val="ListNumber"/>
      </w:pPr>
      <w:r>
        <w:t>PUBLIC_BASE_URL = https://votre-domaine</w:t>
      </w:r>
    </w:p>
    <w:p>
      <w:pPr>
        <w:pStyle w:val="ListNumber"/>
      </w:pPr>
      <w:r>
        <w:t>Webhook / return URLs accessibles en HTTPS.</w:t>
      </w:r>
    </w:p>
    <w:p>
      <w:pPr>
        <w:pStyle w:val="ListNumber"/>
      </w:pPr>
      <w:r>
        <w:t>ALLOW_MOCK_PAYMENTS=False et DEBUG=False.</w:t>
      </w:r>
    </w:p>
    <w:p>
      <w:pPr>
        <w:pStyle w:val="ListNumber"/>
      </w:pPr>
      <w:r>
        <w:t>Tester un achat réel à faible montant puis remboursement selon procédure SingPay.</w:t>
      </w:r>
    </w:p>
    <w:p>
      <w:pPr>
        <w:pStyle w:val="ListNumber"/>
      </w:pPr>
      <w:r>
        <w:t>Vérifier commission_pct dans SiteSettings.</w:t>
      </w:r>
    </w:p>
    <w:p>
      <w:pPr>
        <w:pStyle w:val="Heading1"/>
      </w:pPr>
      <w:r>
        <w:t>5. Maintenance courante</w:t>
      </w:r>
    </w:p>
    <w:p>
      <w:pPr>
        <w:pStyle w:val="Heading2"/>
      </w:pPr>
      <w:r>
        <w:t>5.1 Mises à jour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3F7" w:val="clear"/>
          </w:tcPr>
          <w:p>
            <w:r>
              <w:rPr>
                <w:rFonts w:ascii="Consolas" w:hAnsi="Consolas"/>
                <w:color w:val="1A2744"/>
                <w:sz w:val="18"/>
              </w:rPr>
              <w:t>git pull --ff-only origin main</w:t>
              <w:br/>
              <w:t>python manage.py migrate --noinput</w:t>
              <w:br/>
              <w:t>python manage.py collectstatic --noinput</w:t>
              <w:br/>
              <w:t># Redémarrer le process WSGI / conteneurs selon l’hébergeur</w:t>
            </w:r>
          </w:p>
        </w:tc>
      </w:tr>
    </w:tbl>
    <w:p/>
    <w:p>
      <w:pPr>
        <w:pStyle w:val="Heading2"/>
      </w:pPr>
      <w:r>
        <w:t>5.2 Sauvegardes</w:t>
      </w:r>
    </w:p>
    <w:p>
      <w:pPr>
        <w:pStyle w:val="ListBullet"/>
      </w:pPr>
      <w:r>
        <w:t>Base Postgres : pg_dump quotidien + rétention 7–30 jours.</w:t>
      </w:r>
    </w:p>
    <w:p>
      <w:pPr>
        <w:pStyle w:val="ListBullet"/>
      </w:pPr>
      <w:r>
        <w:t>Médias (affiches, avatars) : volume / dossier media synchronisé.</w:t>
      </w:r>
    </w:p>
    <w:p>
      <w:pPr>
        <w:pStyle w:val="ListBullet"/>
      </w:pPr>
      <w:r>
        <w:t>Fichier .env : stocké hors dépôt, sauvegarde chiffrée.</w:t>
      </w:r>
    </w:p>
    <w:p>
      <w:pPr>
        <w:pStyle w:val="Heading2"/>
      </w:pPr>
      <w:r>
        <w:t>5.3 Journaux &amp; santé</w:t>
      </w:r>
    </w:p>
    <w:p>
      <w:pPr>
        <w:pStyle w:val="ListBullet"/>
      </w:pPr>
      <w:r>
        <w:t>Endpoint /health/ doit répondre status ok.</w:t>
      </w:r>
    </w:p>
    <w:p>
      <w:pPr>
        <w:pStyle w:val="ListBullet"/>
      </w:pPr>
      <w:r>
        <w:t>Surveiller erreurs 5xx nginx / gunicorn.</w:t>
      </w:r>
    </w:p>
    <w:p>
      <w:pPr>
        <w:pStyle w:val="ListBullet"/>
      </w:pPr>
      <w:r>
        <w:t>Celery worker + beat : files d’attente Redis non saturées.</w:t>
      </w:r>
    </w:p>
    <w:p>
      <w:pPr>
        <w:pStyle w:val="Heading1"/>
      </w:pPr>
      <w:r>
        <w:t>6. Exploitation métier</w:t>
      </w:r>
    </w:p>
    <w:p>
      <w:pPr>
        <w:pStyle w:val="ListBullet"/>
      </w:pPr>
      <w:r>
        <w:t>Archivage automatique selon lifetime_days / expires_at des événements.</w:t>
      </w:r>
    </w:p>
    <w:p>
      <w:pPr>
        <w:pStyle w:val="ListBullet"/>
      </w:pPr>
      <w:r>
        <w:t>Invitations annulées (statut desactive = « Annulée »).</w:t>
      </w:r>
    </w:p>
    <w:p>
      <w:pPr>
        <w:pStyle w:val="ListBullet"/>
      </w:pPr>
      <w:r>
        <w:t>Reversements Mobile Money : profil organisateur prêt (momo_ready).</w:t>
      </w:r>
    </w:p>
    <w:p>
      <w:pPr>
        <w:pStyle w:val="ListBullet"/>
      </w:pPr>
      <w:r>
        <w:t>Ne jamais supprimer un organisateur actif sans traitement des paiements ouverts.</w:t>
      </w:r>
    </w:p>
    <w:p>
      <w:pPr>
        <w:pStyle w:val="Heading1"/>
      </w:pPr>
      <w:r>
        <w:t>7. Incidents fréquents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2744" w:val="clear"/>
          </w:tcPr>
          <w:p>
            <w:r>
              <w:rPr>
                <w:b/>
                <w:color w:val="FFFFFF"/>
                <w:sz w:val="20"/>
              </w:rPr>
              <w:t>Symptôme</w:t>
            </w:r>
          </w:p>
        </w:tc>
        <w:tc>
          <w:tcPr>
            <w:tcW w:type="dxa" w:w="3249"/>
            <w:shd w:fill="1A2744" w:val="clear"/>
          </w:tcPr>
          <w:p>
            <w:r>
              <w:rPr>
                <w:b/>
                <w:color w:val="FFFFFF"/>
                <w:sz w:val="20"/>
              </w:rPr>
              <w:t>Cause probable</w:t>
            </w:r>
          </w:p>
        </w:tc>
        <w:tc>
          <w:tcPr>
            <w:tcW w:type="dxa" w:w="3249"/>
            <w:shd w:fill="1A2744" w:val="clear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OperationalError colonne manquante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Migration non appliquée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migrate --noinput</w:t>
            </w:r>
          </w:p>
        </w:tc>
      </w:tr>
      <w:tr>
        <w:tc>
          <w:tcPr>
            <w:tcW w:type="dxa" w:w="3249"/>
          </w:tcPr>
          <w:p>
            <w:r>
              <w:rPr>
                <w:color w:val="1A2744"/>
                <w:sz w:val="20"/>
              </w:rPr>
              <w:t>DisallowedHost</w:t>
            </w:r>
          </w:p>
        </w:tc>
        <w:tc>
          <w:tcPr>
            <w:tcW w:type="dxa" w:w="3249"/>
          </w:tcPr>
          <w:p>
            <w:r>
              <w:rPr>
                <w:color w:val="1A2744"/>
                <w:sz w:val="20"/>
              </w:rPr>
              <w:t>ALLOWED_HOSTS incomplet</w:t>
            </w:r>
          </w:p>
        </w:tc>
        <w:tc>
          <w:tcPr>
            <w:tcW w:type="dxa" w:w="3249"/>
          </w:tcPr>
          <w:p>
            <w:r>
              <w:rPr>
                <w:color w:val="1A2744"/>
                <w:sz w:val="20"/>
              </w:rPr>
              <w:t>Ajouter le domaine</w:t>
            </w:r>
          </w:p>
        </w:tc>
      </w:tr>
      <w:tr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CSRF failed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CSRF_TRUSTED_ORIGINS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Ajouter https://domaine</w:t>
            </w:r>
          </w:p>
        </w:tc>
      </w:tr>
      <w:tr>
        <w:tc>
          <w:tcPr>
            <w:tcW w:type="dxa" w:w="3249"/>
          </w:tcPr>
          <w:p>
            <w:r>
              <w:rPr>
                <w:color w:val="1A2744"/>
                <w:sz w:val="20"/>
              </w:rPr>
              <w:t>Static 404</w:t>
            </w:r>
          </w:p>
        </w:tc>
        <w:tc>
          <w:tcPr>
            <w:tcW w:type="dxa" w:w="3249"/>
          </w:tcPr>
          <w:p>
            <w:r>
              <w:rPr>
                <w:color w:val="1A2744"/>
                <w:sz w:val="20"/>
              </w:rPr>
              <w:t>collectstatic / WhiteNoise / nginx</w:t>
            </w:r>
          </w:p>
        </w:tc>
        <w:tc>
          <w:tcPr>
            <w:tcW w:type="dxa" w:w="3249"/>
          </w:tcPr>
          <w:p>
            <w:r>
              <w:rPr>
                <w:color w:val="1A2744"/>
                <w:sz w:val="20"/>
              </w:rPr>
              <w:t>Rebuild static volume</w:t>
            </w:r>
          </w:p>
        </w:tc>
      </w:tr>
      <w:tr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Mock encore visible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DEBUG ou allow_mock</w:t>
            </w:r>
          </w:p>
        </w:tc>
        <w:tc>
          <w:tcPr>
            <w:tcW w:type="dxa" w:w="3249"/>
            <w:shd w:fill="FBF7F0" w:val="clear"/>
          </w:tcPr>
          <w:p>
            <w:r>
              <w:rPr>
                <w:color w:val="1A2744"/>
                <w:sz w:val="20"/>
              </w:rPr>
              <w:t>Couper DEBUG et mock</w:t>
            </w:r>
          </w:p>
        </w:tc>
      </w:tr>
    </w:tbl>
    <w:p/>
    <w:p>
      <w:pPr>
        <w:pStyle w:val="Heading1"/>
      </w:pPr>
      <w:r>
        <w:t>8. Tests avant mise en prod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3F7" w:val="clear"/>
          </w:tcPr>
          <w:p>
            <w:r>
              <w:rPr>
                <w:rFonts w:ascii="Consolas" w:hAnsi="Consolas"/>
                <w:color w:val="1A2744"/>
                <w:sz w:val="18"/>
              </w:rPr>
              <w:t>python manage.py check --settings=config.test_settings</w:t>
              <w:br/>
              <w:t>python manage.py test --settings=config.test_settings</w:t>
              <w:br/>
              <w:t>python manage.py makemigrations --check --dry-run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80"/>
        <w:sz w:val="18"/>
      </w:rPr>
      <w:t xml:space="preserve">Gab Event  ·  Confidentiel partenaires  ·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C9A24A"/>
        <w:sz w:val="20"/>
      </w:rPr>
      <w:t>GAB EVENT</w:t>
    </w:r>
    <w:r>
      <w:rPr>
        <w:color w:val="5C6780"/>
        <w:sz w:val="18"/>
      </w:rPr>
      <w:t xml:space="preserve">  —  Documentation officielle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60" w:lineRule="auto"/>
    </w:pPr>
    <w:rPr>
      <w:rFonts w:ascii="Calibri" w:hAnsi="Calibri"/>
      <w:color w:val="1A27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27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274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27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