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header6.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footer6.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header3.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66" w:before="74" w:after="0"/>
        <w:ind w:hanging="11" w:start="34" w:end="384"/>
        <w:rPr>
          <w:b/>
          <w:bCs/>
          <w:w w:val="105"/>
          <w:sz w:val="34"/>
          <w:lang w:val="en-GB"/>
        </w:rPr>
      </w:pPr>
      <w:r>
        <w:rPr>
          <w:b/>
          <w:bCs/>
          <w:w w:val="105"/>
          <w:sz w:val="34"/>
          <w:lang w:val="en-GB"/>
        </w:rPr>
        <w:t>Waste and Material Footprints in prospective LCA: a study of 1</w:t>
      </w:r>
      <w:r>
        <w:rPr>
          <w:b/>
          <w:bCs/>
          <w:w w:val="105"/>
          <w:sz w:val="34"/>
          <w:lang w:val="en-GB"/>
        </w:rPr>
        <w:t>6</w:t>
      </w:r>
      <w:r>
        <w:rPr>
          <w:b/>
          <w:bCs/>
          <w:w w:val="105"/>
          <w:sz w:val="34"/>
          <w:lang w:val="en-GB"/>
        </w:rPr>
        <w:t xml:space="preserve">00+ </w:t>
      </w:r>
      <w:r>
        <w:rPr>
          <w:b/>
          <w:bCs/>
          <w:w w:val="105"/>
          <w:sz w:val="34"/>
          <w:lang w:val="en-GB"/>
        </w:rPr>
        <w:t>activities from 2020-2050</w:t>
      </w:r>
    </w:p>
    <w:p>
      <w:pPr>
        <w:pStyle w:val="Normal"/>
        <w:spacing w:before="174" w:after="0"/>
        <w:ind w:start="34"/>
        <w:rPr>
          <w:lang w:val="en-GB"/>
        </w:rPr>
      </w:pPr>
      <w:r>
        <w:rPr>
          <w:color w:val="7F7F7F"/>
          <w:sz w:val="24"/>
          <w:lang w:val="en-GB"/>
        </w:rPr>
        <w:t>Stewart</w:t>
      </w:r>
      <w:r>
        <w:rPr>
          <w:color w:val="7F7F7F"/>
          <w:spacing w:val="-5"/>
          <w:sz w:val="24"/>
          <w:lang w:val="en-GB"/>
        </w:rPr>
        <w:t xml:space="preserve"> </w:t>
      </w:r>
      <w:r>
        <w:rPr>
          <w:color w:val="7F7F7F"/>
          <w:sz w:val="24"/>
          <w:lang w:val="en-GB"/>
        </w:rPr>
        <w:t>Charles</w:t>
      </w:r>
      <w:r>
        <w:rPr>
          <w:color w:val="7F7F7F"/>
          <w:spacing w:val="-4"/>
          <w:sz w:val="24"/>
          <w:lang w:val="en-GB"/>
        </w:rPr>
        <w:t xml:space="preserve"> </w:t>
      </w:r>
      <w:r>
        <w:rPr>
          <w:sz w:val="24"/>
          <w:lang w:val="en-GB"/>
        </w:rPr>
        <w:t>McDowall</w:t>
      </w:r>
      <w:r>
        <w:rPr>
          <w:i/>
          <w:sz w:val="24"/>
          <w:vertAlign w:val="superscript"/>
          <w:lang w:val="en-GB"/>
        </w:rPr>
        <w:t xml:space="preserve">a* </w:t>
      </w:r>
      <w:r>
        <w:rPr>
          <w:i/>
          <w:position w:val="0"/>
          <w:sz w:val="24"/>
          <w:sz w:val="24"/>
          <w:vertAlign w:val="baseline"/>
          <w:lang w:val="en-GB"/>
        </w:rPr>
        <w:t>,</w:t>
      </w:r>
      <w:r>
        <w:rPr>
          <w:i/>
          <w:spacing w:val="52"/>
          <w:position w:val="0"/>
          <w:sz w:val="24"/>
          <w:sz w:val="24"/>
          <w:vertAlign w:val="baseline"/>
          <w:lang w:val="en-GB"/>
        </w:rPr>
        <w:t xml:space="preserve"> </w:t>
      </w:r>
      <w:r>
        <w:rPr>
          <w:rFonts w:eastAsia="Times New Roman" w:cs="Times New Roman"/>
          <w:color w:val="7F7F7F"/>
          <w:sz w:val="24"/>
          <w:lang w:val="en-GB"/>
        </w:rPr>
        <w:t>Carlos Felipe</w:t>
      </w:r>
      <w:r>
        <w:rPr>
          <w:color w:val="7F7F7F"/>
          <w:spacing w:val="-5"/>
          <w:sz w:val="24"/>
          <w:lang w:val="en-GB"/>
        </w:rPr>
        <w:t xml:space="preserve"> </w:t>
      </w:r>
      <w:r>
        <w:rPr>
          <w:spacing w:val="-2"/>
          <w:sz w:val="24"/>
          <w:lang w:val="en-GB"/>
        </w:rPr>
        <w:t>Blanco</w:t>
      </w:r>
      <w:r>
        <w:rPr>
          <w:i/>
          <w:spacing w:val="-2"/>
          <w:sz w:val="24"/>
          <w:vertAlign w:val="superscript"/>
          <w:lang w:val="en-GB"/>
        </w:rPr>
        <w:t>a, c</w:t>
      </w:r>
      <w:r>
        <w:rPr>
          <w:i/>
          <w:spacing w:val="-2"/>
          <w:position w:val="0"/>
          <w:sz w:val="24"/>
          <w:sz w:val="24"/>
          <w:vertAlign w:val="baseline"/>
          <w:lang w:val="en-GB"/>
        </w:rPr>
        <w:t xml:space="preserve">, </w:t>
        <w:softHyphen/>
        <w:t xml:space="preserve">and </w:t>
      </w:r>
      <w:r>
        <w:rPr>
          <w:color w:val="7F7F7F"/>
          <w:sz w:val="24"/>
          <w:lang w:val="en-GB"/>
        </w:rPr>
        <w:t>Stefano</w:t>
      </w:r>
      <w:r>
        <w:rPr>
          <w:color w:val="7F7F7F"/>
          <w:spacing w:val="-5"/>
          <w:sz w:val="24"/>
          <w:lang w:val="en-GB"/>
        </w:rPr>
        <w:t xml:space="preserve"> </w:t>
      </w:r>
      <w:r>
        <w:rPr>
          <w:sz w:val="24"/>
          <w:lang w:val="en-GB"/>
        </w:rPr>
        <w:t>Cucurachi</w:t>
      </w:r>
      <w:r>
        <w:rPr>
          <w:i/>
          <w:sz w:val="24"/>
          <w:vertAlign w:val="superscript"/>
          <w:lang w:val="en-GB"/>
        </w:rPr>
        <w:t>a</w:t>
      </w:r>
      <w:r>
        <w:rPr>
          <w:spacing w:val="53"/>
          <w:sz w:val="24"/>
          <w:lang w:val="en-GB"/>
        </w:rPr>
        <w:t xml:space="preserve"> </w:t>
      </w:r>
    </w:p>
    <w:p>
      <w:pPr>
        <w:pStyle w:val="Normal"/>
        <w:spacing w:before="205" w:after="0"/>
        <w:ind w:start="34"/>
        <w:rPr>
          <w:lang w:val="en-GB"/>
        </w:rPr>
      </w:pPr>
      <w:r>
        <w:rPr>
          <w:i/>
          <w:spacing w:val="-4"/>
          <w:position w:val="6"/>
          <w:sz w:val="12"/>
          <w:lang w:val="en-GB"/>
        </w:rPr>
        <w:t>a</w:t>
      </w:r>
      <w:r>
        <w:rPr>
          <w:i/>
          <w:spacing w:val="-4"/>
          <w:sz w:val="16"/>
          <w:lang w:val="en-GB"/>
        </w:rPr>
        <w:t>Institute</w:t>
      </w:r>
      <w:r>
        <w:rPr>
          <w:i/>
          <w:spacing w:val="-3"/>
          <w:sz w:val="16"/>
          <w:lang w:val="en-GB"/>
        </w:rPr>
        <w:t xml:space="preserve"> </w:t>
      </w:r>
      <w:r>
        <w:rPr>
          <w:i/>
          <w:spacing w:val="-4"/>
          <w:sz w:val="16"/>
          <w:lang w:val="en-GB"/>
        </w:rPr>
        <w:t>of</w:t>
      </w:r>
      <w:r>
        <w:rPr>
          <w:i/>
          <w:spacing w:val="-2"/>
          <w:sz w:val="16"/>
          <w:lang w:val="en-GB"/>
        </w:rPr>
        <w:t xml:space="preserve"> </w:t>
      </w:r>
      <w:r>
        <w:rPr>
          <w:i/>
          <w:spacing w:val="-4"/>
          <w:sz w:val="16"/>
          <w:lang w:val="en-GB"/>
        </w:rPr>
        <w:t>Environmental</w:t>
      </w:r>
      <w:r>
        <w:rPr>
          <w:i/>
          <w:spacing w:val="-3"/>
          <w:sz w:val="16"/>
          <w:lang w:val="en-GB"/>
        </w:rPr>
        <w:t xml:space="preserve"> </w:t>
      </w:r>
      <w:r>
        <w:rPr>
          <w:i/>
          <w:spacing w:val="-4"/>
          <w:sz w:val="16"/>
          <w:lang w:val="en-GB"/>
        </w:rPr>
        <w:t>Sciences</w:t>
      </w:r>
      <w:r>
        <w:rPr>
          <w:i/>
          <w:spacing w:val="-2"/>
          <w:sz w:val="16"/>
          <w:lang w:val="en-GB"/>
        </w:rPr>
        <w:t xml:space="preserve"> </w:t>
      </w:r>
      <w:r>
        <w:rPr>
          <w:i/>
          <w:spacing w:val="-4"/>
          <w:sz w:val="16"/>
          <w:lang w:val="en-GB"/>
        </w:rPr>
        <w:t>(CML),</w:t>
      </w:r>
      <w:r>
        <w:rPr>
          <w:i/>
          <w:spacing w:val="-2"/>
          <w:sz w:val="16"/>
          <w:lang w:val="en-GB"/>
        </w:rPr>
        <w:t xml:space="preserve"> </w:t>
      </w:r>
      <w:r>
        <w:rPr>
          <w:i/>
          <w:spacing w:val="-4"/>
          <w:sz w:val="16"/>
          <w:lang w:val="en-GB"/>
        </w:rPr>
        <w:t>Leiden</w:t>
      </w:r>
      <w:r>
        <w:rPr>
          <w:i/>
          <w:spacing w:val="-3"/>
          <w:sz w:val="16"/>
          <w:lang w:val="en-GB"/>
        </w:rPr>
        <w:t xml:space="preserve"> </w:t>
      </w:r>
      <w:r>
        <w:rPr>
          <w:i/>
          <w:spacing w:val="-4"/>
          <w:sz w:val="16"/>
          <w:lang w:val="en-GB"/>
        </w:rPr>
        <w:t>University,</w:t>
      </w:r>
      <w:r>
        <w:rPr>
          <w:i/>
          <w:spacing w:val="-2"/>
          <w:sz w:val="16"/>
          <w:lang w:val="en-GB"/>
        </w:rPr>
        <w:t xml:space="preserve"> </w:t>
      </w:r>
      <w:r>
        <w:rPr>
          <w:i/>
          <w:spacing w:val="-4"/>
          <w:sz w:val="16"/>
          <w:lang w:val="en-GB"/>
        </w:rPr>
        <w:t>P.O.</w:t>
      </w:r>
      <w:r>
        <w:rPr>
          <w:i/>
          <w:spacing w:val="-3"/>
          <w:sz w:val="16"/>
          <w:lang w:val="en-GB"/>
        </w:rPr>
        <w:t xml:space="preserve"> </w:t>
      </w:r>
      <w:r>
        <w:rPr>
          <w:i/>
          <w:spacing w:val="-4"/>
          <w:sz w:val="16"/>
          <w:lang w:val="en-GB"/>
        </w:rPr>
        <w:t>Box</w:t>
      </w:r>
      <w:r>
        <w:rPr>
          <w:i/>
          <w:spacing w:val="-2"/>
          <w:sz w:val="16"/>
          <w:lang w:val="en-GB"/>
        </w:rPr>
        <w:t xml:space="preserve"> </w:t>
      </w:r>
      <w:r>
        <w:rPr>
          <w:i/>
          <w:spacing w:val="-4"/>
          <w:sz w:val="16"/>
          <w:lang w:val="en-GB"/>
        </w:rPr>
        <w:t>9518,</w:t>
      </w:r>
      <w:r>
        <w:rPr>
          <w:i/>
          <w:spacing w:val="-2"/>
          <w:sz w:val="16"/>
          <w:lang w:val="en-GB"/>
        </w:rPr>
        <w:t xml:space="preserve"> </w:t>
      </w:r>
      <w:r>
        <w:rPr>
          <w:i/>
          <w:spacing w:val="-4"/>
          <w:sz w:val="16"/>
          <w:lang w:val="en-GB"/>
        </w:rPr>
        <w:t>Leiden,</w:t>
      </w:r>
      <w:r>
        <w:rPr>
          <w:i/>
          <w:spacing w:val="-3"/>
          <w:sz w:val="16"/>
          <w:lang w:val="en-GB"/>
        </w:rPr>
        <w:t xml:space="preserve"> </w:t>
      </w:r>
      <w:r>
        <w:rPr>
          <w:i/>
          <w:spacing w:val="-4"/>
          <w:sz w:val="16"/>
          <w:lang w:val="en-GB"/>
        </w:rPr>
        <w:t>2300RA,</w:t>
      </w:r>
      <w:r>
        <w:rPr>
          <w:i/>
          <w:spacing w:val="-2"/>
          <w:sz w:val="16"/>
          <w:lang w:val="en-GB"/>
        </w:rPr>
        <w:t xml:space="preserve"> </w:t>
      </w:r>
      <w:r>
        <w:rPr>
          <w:i/>
          <w:spacing w:val="-4"/>
          <w:sz w:val="16"/>
          <w:lang w:val="en-GB"/>
        </w:rPr>
        <w:t>South</w:t>
      </w:r>
      <w:r>
        <w:rPr>
          <w:i/>
          <w:spacing w:val="-2"/>
          <w:sz w:val="16"/>
          <w:lang w:val="en-GB"/>
        </w:rPr>
        <w:t xml:space="preserve"> </w:t>
      </w:r>
      <w:r>
        <w:rPr>
          <w:i/>
          <w:spacing w:val="-4"/>
          <w:sz w:val="16"/>
          <w:lang w:val="en-GB"/>
        </w:rPr>
        <w:t>Holland,</w:t>
      </w:r>
      <w:r>
        <w:rPr>
          <w:i/>
          <w:spacing w:val="-3"/>
          <w:sz w:val="16"/>
          <w:lang w:val="en-GB"/>
        </w:rPr>
        <w:t xml:space="preserve"> </w:t>
      </w:r>
      <w:r>
        <w:rPr>
          <w:i/>
          <w:spacing w:val="-4"/>
          <w:sz w:val="16"/>
          <w:lang w:val="en-GB"/>
        </w:rPr>
        <w:t>The</w:t>
      </w:r>
      <w:r>
        <w:rPr>
          <w:i/>
          <w:spacing w:val="-2"/>
          <w:sz w:val="16"/>
          <w:lang w:val="en-GB"/>
        </w:rPr>
        <w:t xml:space="preserve"> </w:t>
      </w:r>
      <w:r>
        <w:rPr>
          <w:i/>
          <w:spacing w:val="-4"/>
          <w:sz w:val="16"/>
          <w:lang w:val="en-GB"/>
        </w:rPr>
        <w:t>Netherlands</w:t>
      </w:r>
    </w:p>
    <w:p>
      <w:pPr>
        <w:pStyle w:val="Normal"/>
        <w:spacing w:before="205" w:after="0"/>
        <w:ind w:start="34"/>
        <w:rPr>
          <w:lang w:val="en-GB"/>
        </w:rPr>
      </w:pPr>
      <w:r>
        <w:rPr>
          <w:i/>
          <w:spacing w:val="-4"/>
          <w:position w:val="6"/>
          <w:sz w:val="12"/>
          <w:lang w:val="en-GB"/>
        </w:rPr>
        <w:t>c</w:t>
      </w:r>
      <w:r>
        <w:rPr>
          <w:i/>
          <w:spacing w:val="-4"/>
          <w:sz w:val="16"/>
          <w:lang w:val="en-GB"/>
        </w:rPr>
        <w:t>Netherlands Organisation for Applied Scientific Research (TNO),</w:t>
      </w:r>
      <w:r>
        <w:rPr>
          <w:i/>
          <w:spacing w:val="-3"/>
          <w:sz w:val="16"/>
          <w:lang w:val="en-GB"/>
        </w:rPr>
        <w:t xml:space="preserve"> Princetonlaan 6, 3584 CB, Utrecht, </w:t>
      </w:r>
      <w:r>
        <w:rPr>
          <w:i/>
          <w:spacing w:val="-4"/>
          <w:sz w:val="16"/>
          <w:lang w:val="en-GB"/>
        </w:rPr>
        <w:t>The</w:t>
      </w:r>
      <w:r>
        <w:rPr>
          <w:i/>
          <w:spacing w:val="-2"/>
          <w:sz w:val="16"/>
          <w:lang w:val="en-GB"/>
        </w:rPr>
        <w:t xml:space="preserve"> </w:t>
      </w:r>
      <w:r>
        <w:rPr>
          <w:i/>
          <w:spacing w:val="-4"/>
          <w:sz w:val="16"/>
          <w:lang w:val="en-GB"/>
        </w:rPr>
        <w:t>Netherlands</w:t>
      </w:r>
    </w:p>
    <w:p>
      <w:pPr>
        <w:pStyle w:val="Normal"/>
        <w:spacing w:before="205" w:after="0"/>
        <w:ind w:start="34"/>
        <w:rPr>
          <w:i/>
          <w:i/>
          <w:spacing w:val="-4"/>
          <w:sz w:val="16"/>
          <w:lang w:val="en-GB"/>
        </w:rPr>
      </w:pPr>
      <w:r>
        <w:rPr>
          <w:i/>
          <w:spacing w:val="-4"/>
          <w:sz w:val="16"/>
          <w:lang w:val="en-GB"/>
        </w:rPr>
        <w:t>* Corresponding author: s.c.mcdowall@cml.leidenuniv.nl</w:t>
      </w:r>
    </w:p>
    <w:p>
      <w:pPr>
        <w:pStyle w:val="Normal"/>
        <w:spacing w:before="205" w:after="0"/>
        <w:ind w:start="34"/>
        <w:rPr>
          <w:b/>
          <w:bCs/>
          <w:strike w:val="false"/>
          <w:dstrike w:val="false"/>
          <w:u w:val="single"/>
          <w:lang w:val="en-GB"/>
        </w:rPr>
      </w:pPr>
      <w:r>
        <w:rPr>
          <w:b/>
          <w:bCs/>
          <w:strike w:val="false"/>
          <w:dstrike w:val="false"/>
          <w:u w:val="single"/>
          <w:lang w:val="en-GB"/>
        </w:rPr>
        <mc:AlternateContent>
          <mc:Choice Requires="wps">
            <w:drawing>
              <wp:anchor behindDoc="0" distT="635" distB="635" distL="635" distR="635" simplePos="0" locked="0" layoutInCell="1" allowOverlap="1" relativeHeight="4">
                <wp:simplePos x="0" y="0"/>
                <wp:positionH relativeFrom="column">
                  <wp:posOffset>64135</wp:posOffset>
                </wp:positionH>
                <wp:positionV relativeFrom="paragraph">
                  <wp:posOffset>170815</wp:posOffset>
                </wp:positionV>
                <wp:extent cx="5887085" cy="0"/>
                <wp:effectExtent l="635" t="635" r="635" b="635"/>
                <wp:wrapNone/>
                <wp:docPr id="1" name="Horizontal line 2"/>
                <a:graphic xmlns:a="http://schemas.openxmlformats.org/drawingml/2006/main">
                  <a:graphicData uri="http://schemas.microsoft.com/office/word/2010/wordprocessingShape">
                    <wps:wsp>
                      <wps:cNvSpPr/>
                      <wps:spPr>
                        <a:xfrm>
                          <a:off x="0" y="0"/>
                          <a:ext cx="588708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5.05pt,13.45pt" to="468.55pt,13.45pt" ID="Horizontal line 2" stroked="t" o:allowincell="f" style="position:absolute">
                <v:stroke color="black" joinstyle="round" endcap="flat"/>
                <v:fill o:detectmouseclick="t" on="false"/>
                <w10:wrap type="none"/>
              </v:line>
            </w:pict>
          </mc:Fallback>
        </mc:AlternateContent>
      </w:r>
    </w:p>
    <w:p>
      <w:pPr>
        <w:pStyle w:val="Heading"/>
        <w:rPr/>
      </w:pPr>
      <w:r>
        <w:rPr>
          <w:rStyle w:val="Strong"/>
          <w:b/>
        </w:rPr>
        <w:t>Abstract (≤400 words total)</w:t>
      </w:r>
    </w:p>
    <w:p>
      <w:pPr>
        <w:pStyle w:val="BodyText"/>
        <w:spacing w:before="0" w:after="0"/>
        <w:rPr>
          <w:vanish/>
          <w:specVanish/>
        </w:rPr>
      </w:pPr>
      <w:r>
        <w:rPr>
          <w:rStyle w:val="Strong"/>
        </w:rPr>
        <w:t>Purpose (≤75 words)</w:t>
      </w:r>
    </w:p>
    <w:p>
      <w:pPr>
        <w:pStyle w:val="BodyText"/>
        <w:jc w:val="start"/>
        <w:rPr/>
      </w:pPr>
      <w:r/>
      <w:r>
        <w:rPr>
          <w:rStyle w:val="Strong"/>
        </w:rPr>
      </w:r>
      <w:r>
        <w:rPr/>
        <w:br/>
        <w:t>Advancing a circular economy requires direct quantification of waste and material flows attributable to human activity. Yet Waste and Material Footprints (WMFs) are rarely reported in standard LCA and are scarcely integrated in prospective studies. This work quantifies WMFs for activities across the ecoinvent database and examines how they evolve under socio-economic scenarios, to (i) reveal sectoral hotspots, (ii) compare WMFs with conventional LCIA indicators, and (iii) assess how prospective backgrounds alter footprint magnitudes.</w:t>
      </w:r>
    </w:p>
    <w:p>
      <w:pPr>
        <w:pStyle w:val="BodyText"/>
        <w:jc w:val="start"/>
        <w:rPr/>
      </w:pPr>
      <w:r>
        <w:rPr>
          <w:rStyle w:val="Strong"/>
        </w:rPr>
        <w:t>Methods (≤125 words)</w:t>
      </w:r>
      <w:r>
        <w:rPr/>
        <w:br/>
        <w:t xml:space="preserve">We constructed prospective LCI databases with </w:t>
      </w:r>
      <w:r>
        <w:rPr>
          <w:rStyle w:val="Strong"/>
        </w:rPr>
        <w:t>premise</w:t>
      </w:r>
      <w:r>
        <w:rPr/>
        <w:t xml:space="preserve"> (</w:t>
      </w:r>
      <w:r>
        <w:rPr/>
        <w:t xml:space="preserve">from </w:t>
      </w:r>
      <w:r>
        <w:rPr/>
        <w:t xml:space="preserve">ecoinvent 3.9.1) aligned to two divergent </w:t>
      </w:r>
      <w:r>
        <w:rPr>
          <w:rStyle w:val="Strong"/>
        </w:rPr>
        <w:t>REMIND</w:t>
      </w:r>
      <w:r>
        <w:rPr/>
        <w:t xml:space="preserve"> pathways—</w:t>
      </w:r>
      <w:r>
        <w:rPr>
          <w:rStyle w:val="Strong"/>
        </w:rPr>
        <w:t>SSP1-PkBudg500</w:t>
      </w:r>
      <w:r>
        <w:rPr/>
        <w:t xml:space="preserve"> and </w:t>
      </w:r>
      <w:r>
        <w:rPr>
          <w:rStyle w:val="Strong"/>
        </w:rPr>
        <w:t>SSP5-PkBudg500</w:t>
      </w:r>
      <w:r>
        <w:rPr/>
        <w:t xml:space="preserve">—for 2020–2050. We then applied </w:t>
      </w:r>
      <w:r>
        <w:rPr>
          <w:rStyle w:val="Strong"/>
        </w:rPr>
        <w:t>T-reX</w:t>
      </w:r>
      <w:r>
        <w:rPr/>
        <w:t xml:space="preserve"> to enable tracking of &gt;50 categories of waste and material flows and calculated WMFs for </w:t>
      </w:r>
      <w:r>
        <w:rPr>
          <w:rStyle w:val="Strong"/>
        </w:rPr>
        <w:t>1,600+</w:t>
      </w:r>
      <w:r>
        <w:rPr/>
        <w:t xml:space="preserve"> market activities. In parallel, we computed </w:t>
      </w:r>
      <w:r>
        <w:rPr>
          <w:rStyle w:val="Strong"/>
        </w:rPr>
        <w:t>ReCiPe 2016 endpoint</w:t>
      </w:r>
      <w:r>
        <w:rPr/>
        <w:t xml:space="preserve"> indicators to benchmark WMFs against human health and ecosystem damage metrics. Activities were grouped into sectors to identify hotspots and to evaluate prospective changes in WMFs across scenarios and years. We discuss the implications of the underlying </w:t>
      </w:r>
      <w:r>
        <w:rPr>
          <w:rStyle w:val="Strong"/>
        </w:rPr>
        <w:t>economic allocation</w:t>
      </w:r>
      <w:r>
        <w:rPr/>
        <w:t xml:space="preserve"> in ecoinvent for interpreting WMFs.</w:t>
      </w:r>
    </w:p>
    <w:p>
      <w:pPr>
        <w:pStyle w:val="BodyText"/>
        <w:jc w:val="start"/>
        <w:rPr/>
      </w:pPr>
      <w:r>
        <w:rPr>
          <w:rStyle w:val="Strong"/>
        </w:rPr>
        <w:t>Results and discussion (≤125 words)</w:t>
      </w:r>
      <w:r>
        <w:rPr/>
        <w:br/>
        <w:t xml:space="preserve">Sectorally, </w:t>
      </w:r>
      <w:r>
        <w:rPr>
          <w:rStyle w:val="Strong"/>
        </w:rPr>
        <w:t>mining, metals, and chemicals</w:t>
      </w:r>
      <w:r>
        <w:rPr/>
        <w:t xml:space="preserve"> dominate both total and hazardous waste footprints, consistent with multiple endpoint indicators. Because the background relies on </w:t>
      </w:r>
      <w:r>
        <w:rPr>
          <w:rStyle w:val="Strong"/>
        </w:rPr>
        <w:t>economic allocation</w:t>
      </w:r>
      <w:r>
        <w:rPr/>
        <w:t xml:space="preserve">, WMFs reflect price-weighted supply chains and should not be read as direct mass balances. WMFs correlate with damage pathways (human health, ecosystem), reinforcing their decision relevance. Across 2020–2050, both SSPs show </w:t>
      </w:r>
      <w:r>
        <w:rPr>
          <w:rStyle w:val="Strong"/>
        </w:rPr>
        <w:t>modest WMF reductions</w:t>
      </w:r>
      <w:r>
        <w:rPr/>
        <w:t xml:space="preserve">, with </w:t>
      </w:r>
      <w:r>
        <w:rPr>
          <w:rStyle w:val="Strong"/>
        </w:rPr>
        <w:t>SSP1</w:t>
      </w:r>
      <w:r>
        <w:rPr/>
        <w:t xml:space="preserve"> yielding the larger decrease. However, changes are </w:t>
      </w:r>
      <w:r>
        <w:rPr>
          <w:rStyle w:val="Strong"/>
        </w:rPr>
        <w:t>smaller than expected</w:t>
      </w:r>
      <w:r>
        <w:rPr/>
        <w:t xml:space="preserve"> given policy narratives on waste management and circularity, indicating incomplete representation of waste and secondary-material dynamics in IAM-linked pLCIs.</w:t>
      </w:r>
    </w:p>
    <w:p>
      <w:pPr>
        <w:pStyle w:val="BodyText"/>
        <w:jc w:val="start"/>
        <w:rPr/>
      </w:pPr>
      <w:r>
        <w:rPr>
          <w:rStyle w:val="Strong"/>
        </w:rPr>
        <w:t>Conclusions and recommendations (≤75 words)</w:t>
      </w:r>
      <w:r>
        <w:rPr/>
        <w:br/>
        <w:t xml:space="preserve">To obtain </w:t>
      </w:r>
      <w:r>
        <w:rPr>
          <w:rStyle w:val="Strong"/>
        </w:rPr>
        <w:t>mass-consistent</w:t>
      </w:r>
      <w:r>
        <w:rPr/>
        <w:t xml:space="preserve"> WMFs, future work should test </w:t>
      </w:r>
      <w:r>
        <w:rPr>
          <w:rStyle w:val="Strong"/>
        </w:rPr>
        <w:t>physical/flow-based allocation</w:t>
      </w:r>
      <w:r>
        <w:rPr/>
        <w:t xml:space="preserve"> and explore </w:t>
      </w:r>
      <w:r>
        <w:rPr>
          <w:rStyle w:val="Strong"/>
        </w:rPr>
        <w:t>consequential</w:t>
      </w:r>
      <w:r>
        <w:rPr/>
        <w:t xml:space="preserve"> databases. The limited temporal differentiation of WMFs across pathways highlights a </w:t>
      </w:r>
      <w:r>
        <w:rPr>
          <w:rStyle w:val="Strong"/>
        </w:rPr>
        <w:t>methodological gap</w:t>
      </w:r>
      <w:r>
        <w:rPr/>
        <w:t>: prospective LCI construction needs explicit trajectories for waste management, recycling performance, and secondary-material markets. Our study demonstrates how WMFs complement LCIA in pLCA and underscores the need to embed circularity-relevant transformations in scenario-aligned databases.</w:t>
      </w:r>
    </w:p>
    <w:p>
      <w:pPr>
        <w:pStyle w:val="BodyText"/>
        <w:rPr>
          <w:lang w:val="en-GB"/>
        </w:rPr>
      </w:pPr>
      <w:r>
        <w:rPr>
          <w:b w:val="false"/>
          <w:bCs w:val="false"/>
          <w:lang w:val="en-GB"/>
        </w:rPr>
      </w:r>
    </w:p>
    <w:p>
      <w:pPr>
        <w:pStyle w:val="BodyText"/>
        <w:rPr>
          <w:b/>
          <w:bCs/>
        </w:rPr>
      </w:pPr>
      <w:r>
        <w:rPr>
          <w:b/>
          <w:bCs/>
        </w:rPr>
      </w:r>
    </w:p>
    <w:p>
      <w:pPr>
        <w:pStyle w:val="BodyText"/>
        <w:rPr>
          <w:b/>
          <w:bCs/>
        </w:rPr>
      </w:pPr>
      <w:r>
        <w:rPr>
          <w:b/>
          <w:bCs/>
        </w:rPr>
        <w:t>Keywords</w:t>
      </w:r>
    </w:p>
    <w:p>
      <w:pPr>
        <w:pStyle w:val="BodyText"/>
        <w:rPr>
          <w:lang w:val="en-GB"/>
        </w:rPr>
      </w:pPr>
      <w:r>
        <w:rPr>
          <w:u w:val="none"/>
          <w:lang w:val="en-GB"/>
        </w:rPr>
        <w:t>Circular Economy, Waste and Resource Management, Secondary Raw Materials, Critical Raw Materials, Life Cycle Assessment, Prospective Life Cycle Assessment, Integrated Assessment Models</w:t>
      </w:r>
      <w:r>
        <w:br w:type="page"/>
      </w:r>
    </w:p>
    <w:p>
      <w:pPr>
        <w:pStyle w:val="Caption"/>
        <w:spacing w:before="0" w:after="120"/>
        <w:rPr>
          <w:lang w:val="en-GB"/>
        </w:rPr>
      </w:pPr>
      <w:r>
        <w:rPr>
          <w:lang w:val="en-GB"/>
        </w:rPr>
        <w:t>List of abbreviations</w:t>
      </w:r>
    </w:p>
    <w:p>
      <w:pPr>
        <w:pStyle w:val="BodyText"/>
        <w:tabs>
          <w:tab w:val="clear" w:pos="720"/>
          <w:tab w:val="left" w:pos="1170" w:leader="none"/>
        </w:tabs>
        <w:rPr>
          <w:lang w:val="en-GB"/>
        </w:rPr>
      </w:pPr>
      <w:r>
        <w:rPr>
          <w:lang w:val="en-GB"/>
        </w:rPr>
        <w:t>CE</w:t>
        <w:tab/>
        <w:t>Circular Economy</w:t>
      </w:r>
    </w:p>
    <w:p>
      <w:pPr>
        <w:pStyle w:val="BodyText"/>
        <w:tabs>
          <w:tab w:val="clear" w:pos="720"/>
          <w:tab w:val="left" w:pos="1170" w:leader="none"/>
        </w:tabs>
        <w:rPr>
          <w:lang w:val="en-GB"/>
        </w:rPr>
      </w:pPr>
      <w:r>
        <w:rPr>
          <w:lang w:val="en-GB"/>
        </w:rPr>
        <w:t>CRM</w:t>
        <w:tab/>
        <w:t>Critical Raw Material</w:t>
      </w:r>
    </w:p>
    <w:p>
      <w:pPr>
        <w:pStyle w:val="BodyText"/>
        <w:tabs>
          <w:tab w:val="clear" w:pos="720"/>
          <w:tab w:val="left" w:pos="1170" w:leader="none"/>
        </w:tabs>
        <w:rPr>
          <w:lang w:val="en-GB"/>
        </w:rPr>
      </w:pPr>
      <w:r>
        <w:rPr/>
        <w:t>CPC</w:t>
        <w:tab/>
        <w:t>Cooperative Patent Classification</w:t>
      </w:r>
    </w:p>
    <w:p>
      <w:pPr>
        <w:pStyle w:val="BodyText"/>
        <w:tabs>
          <w:tab w:val="clear" w:pos="720"/>
          <w:tab w:val="left" w:pos="1170" w:leader="none"/>
        </w:tabs>
        <w:rPr>
          <w:lang w:val="en-GB"/>
        </w:rPr>
      </w:pPr>
      <w:r>
        <w:rPr>
          <w:lang w:val="en-GB"/>
        </w:rPr>
        <w:t>EoL</w:t>
        <w:tab/>
        <w:t>End-of-Life</w:t>
      </w:r>
    </w:p>
    <w:p>
      <w:pPr>
        <w:pStyle w:val="BodyText"/>
        <w:tabs>
          <w:tab w:val="clear" w:pos="720"/>
          <w:tab w:val="left" w:pos="1170" w:leader="none"/>
        </w:tabs>
        <w:rPr>
          <w:lang w:val="en-GB"/>
        </w:rPr>
      </w:pPr>
      <w:r>
        <w:rPr>
          <w:lang w:val="en-GB"/>
        </w:rPr>
        <w:t>IAM</w:t>
        <w:tab/>
        <w:t>Integrated Assessment Model</w:t>
      </w:r>
    </w:p>
    <w:p>
      <w:pPr>
        <w:pStyle w:val="BodyText"/>
        <w:tabs>
          <w:tab w:val="clear" w:pos="720"/>
          <w:tab w:val="left" w:pos="1170" w:leader="none"/>
        </w:tabs>
        <w:rPr>
          <w:lang w:val="en-GB"/>
        </w:rPr>
      </w:pPr>
      <w:r>
        <w:rPr>
          <w:lang w:val="en-GB"/>
        </w:rPr>
        <w:t>LCA</w:t>
        <w:tab/>
        <w:t>Life Cycle Assessment</w:t>
      </w:r>
    </w:p>
    <w:p>
      <w:pPr>
        <w:pStyle w:val="BodyText"/>
        <w:tabs>
          <w:tab w:val="clear" w:pos="720"/>
          <w:tab w:val="left" w:pos="1170" w:leader="none"/>
        </w:tabs>
        <w:rPr>
          <w:lang w:val="en-GB"/>
        </w:rPr>
      </w:pPr>
      <w:r>
        <w:rPr>
          <w:lang w:val="en-GB"/>
        </w:rPr>
        <w:t>LCI</w:t>
        <w:tab/>
        <w:t>Life Cycle Inventory</w:t>
      </w:r>
    </w:p>
    <w:p>
      <w:pPr>
        <w:pStyle w:val="BodyText"/>
        <w:tabs>
          <w:tab w:val="clear" w:pos="720"/>
          <w:tab w:val="left" w:pos="1170" w:leader="none"/>
        </w:tabs>
        <w:rPr>
          <w:lang w:val="en-GB"/>
        </w:rPr>
      </w:pPr>
      <w:r>
        <w:rPr/>
        <w:t>LCIA</w:t>
        <w:tab/>
        <w:t xml:space="preserve">Life Cycle Impact Assessment </w:t>
      </w:r>
    </w:p>
    <w:p>
      <w:pPr>
        <w:pStyle w:val="BodyText"/>
        <w:tabs>
          <w:tab w:val="clear" w:pos="720"/>
          <w:tab w:val="left" w:pos="1170" w:leader="none"/>
        </w:tabs>
        <w:rPr>
          <w:lang w:val="en-GB"/>
        </w:rPr>
      </w:pPr>
      <w:r>
        <w:rPr>
          <w:lang w:val="en-GB"/>
        </w:rPr>
        <w:t>MF</w:t>
        <w:tab/>
        <w:t>Material Footprint</w:t>
      </w:r>
    </w:p>
    <w:p>
      <w:pPr>
        <w:pStyle w:val="BodyText"/>
        <w:tabs>
          <w:tab w:val="clear" w:pos="720"/>
          <w:tab w:val="left" w:pos="1170" w:leader="none"/>
        </w:tabs>
        <w:rPr>
          <w:lang w:val="en-GB"/>
        </w:rPr>
      </w:pPr>
      <w:r>
        <w:rPr>
          <w:lang w:val="en-GB"/>
        </w:rPr>
        <w:t>REMIND</w:t>
      </w:r>
    </w:p>
    <w:p>
      <w:pPr>
        <w:pStyle w:val="BodyText"/>
        <w:tabs>
          <w:tab w:val="clear" w:pos="720"/>
          <w:tab w:val="left" w:pos="1170" w:leader="none"/>
        </w:tabs>
        <w:rPr>
          <w:lang w:val="en-GB"/>
        </w:rPr>
      </w:pPr>
      <w:r>
        <w:rPr>
          <w:lang w:val="en-GB"/>
        </w:rPr>
        <w:t>RCP</w:t>
        <w:tab/>
        <w:t>Representative Concentration Pathway</w:t>
      </w:r>
    </w:p>
    <w:p>
      <w:pPr>
        <w:pStyle w:val="BodyText"/>
        <w:tabs>
          <w:tab w:val="clear" w:pos="720"/>
          <w:tab w:val="left" w:pos="1170" w:leader="none"/>
        </w:tabs>
        <w:rPr>
          <w:lang w:val="en-GB"/>
        </w:rPr>
      </w:pPr>
      <w:r>
        <w:rPr/>
        <w:t>ReCiPe</w:t>
        <w:tab/>
        <w:t>A standard LCIA method set</w:t>
      </w:r>
    </w:p>
    <w:p>
      <w:pPr>
        <w:pStyle w:val="BodyText"/>
        <w:tabs>
          <w:tab w:val="clear" w:pos="720"/>
          <w:tab w:val="left" w:pos="1170" w:leader="none"/>
        </w:tabs>
        <w:rPr>
          <w:lang w:val="en-GB"/>
        </w:rPr>
      </w:pPr>
      <w:r>
        <w:rPr>
          <w:lang w:val="en-GB"/>
        </w:rPr>
        <w:t>re-X</w:t>
        <w:tab/>
        <w:t>A broad set of circular economy strategies (“reduce”, “reuse”, “repair”, “recycle” etc.)</w:t>
      </w:r>
    </w:p>
    <w:p>
      <w:pPr>
        <w:pStyle w:val="BodyText"/>
        <w:tabs>
          <w:tab w:val="clear" w:pos="720"/>
          <w:tab w:val="left" w:pos="1170" w:leader="none"/>
        </w:tabs>
        <w:rPr>
          <w:lang w:val="en-GB"/>
        </w:rPr>
      </w:pPr>
      <w:r>
        <w:rPr>
          <w:lang w:val="en-GB"/>
        </w:rPr>
        <w:t>SSP</w:t>
        <w:tab/>
        <w:t>Shared Socioeconomic Pathway</w:t>
      </w:r>
    </w:p>
    <w:p>
      <w:pPr>
        <w:pStyle w:val="BodyText"/>
        <w:tabs>
          <w:tab w:val="clear" w:pos="720"/>
          <w:tab w:val="left" w:pos="1170" w:leader="none"/>
        </w:tabs>
        <w:rPr>
          <w:lang w:val="en-GB"/>
        </w:rPr>
      </w:pPr>
      <w:r>
        <w:rPr/>
        <w:t>T-reX</w:t>
        <w:tab/>
        <w:t>The Tool for analysing re-X in LCA</w:t>
      </w:r>
    </w:p>
    <w:p>
      <w:pPr>
        <w:pStyle w:val="BodyText"/>
        <w:tabs>
          <w:tab w:val="clear" w:pos="720"/>
          <w:tab w:val="left" w:pos="1170" w:leader="none"/>
        </w:tabs>
        <w:rPr>
          <w:lang w:val="en-GB"/>
        </w:rPr>
      </w:pPr>
      <w:r>
        <w:rPr>
          <w:lang w:val="en-GB"/>
        </w:rPr>
        <w:t>UNFC</w:t>
        <w:tab/>
        <w:t>United Nations Framework Classification for Resources</w:t>
      </w:r>
    </w:p>
    <w:p>
      <w:pPr>
        <w:pStyle w:val="BodyText"/>
        <w:tabs>
          <w:tab w:val="clear" w:pos="720"/>
          <w:tab w:val="left" w:pos="1170" w:leader="none"/>
        </w:tabs>
        <w:rPr>
          <w:lang w:val="en-GB"/>
        </w:rPr>
      </w:pPr>
      <w:r>
        <w:rPr>
          <w:lang w:val="en-GB"/>
        </w:rPr>
        <w:t>WF</w:t>
        <w:tab/>
        <w:t>Waste Footprint</w:t>
      </w:r>
    </w:p>
    <w:p>
      <w:pPr>
        <w:pStyle w:val="BodyText"/>
        <w:tabs>
          <w:tab w:val="clear" w:pos="720"/>
          <w:tab w:val="left" w:pos="1170" w:leader="none"/>
        </w:tabs>
        <w:rPr>
          <w:lang w:val="en-GB"/>
        </w:rPr>
      </w:pPr>
      <w:r>
        <w:rPr>
          <w:lang w:val="en-GB"/>
        </w:rPr>
        <w:t>WMF</w:t>
        <w:tab/>
        <w:t>Waste and Material Footprint</w:t>
      </w:r>
      <w:r>
        <w:br w:type="page"/>
      </w:r>
    </w:p>
    <w:p>
      <w:pPr>
        <w:pStyle w:val="Heading1"/>
        <w:numPr>
          <w:ilvl w:val="0"/>
          <w:numId w:val="2"/>
        </w:numPr>
        <w:spacing w:before="0" w:after="120"/>
        <w:ind w:hanging="0" w:start="0"/>
        <w:rPr>
          <w:lang w:val="en-GB"/>
        </w:rPr>
      </w:pPr>
      <w:r>
        <w:rPr>
          <w:lang w:val="en-GB"/>
        </w:rPr>
        <w:t>Introduction (1000 words)</w:t>
      </w:r>
    </w:p>
    <w:p>
      <w:pPr>
        <w:pStyle w:val="Heading4"/>
        <w:rPr/>
      </w:pPr>
      <w:r>
        <w:rPr>
          <w:rStyle w:val="Strong"/>
          <w:b/>
          <w:bCs/>
        </w:rPr>
        <w:t>Environmental context: why circularity and waste matter</w:t>
      </w:r>
    </w:p>
    <w:p>
      <w:pPr>
        <w:pStyle w:val="BodyText"/>
        <w:rPr/>
      </w:pPr>
      <w:r>
        <w:rPr/>
        <w:t>Human activities continue to exceed key planetary boundaries, intensifying climate change, biodiversity loss, and resource depletion. In response, the transition to a circular economy has become a central pillar of sustainability policy (European Commission, 2019, 2020; Government of the Netherlands, 2016, 2023; Pardo and Schweitzer, 2018; Ellen MacArthur Foundation, 2015). Circular strategies seek to decouple well-being from primary material extraction by reducing material demand and preventing waste across value chains through ‘re-X’ measures—refuse, rethink, repair, remanufacturing, and recycling (Reike et al., 2018; European Commission, 2022; Alfieri et al., 2022; Parker et al., 2015). Recent geopolitical tensions further underscore the vulnerability of globalised supply chains and the need for material efficiency and system resilience (Carrara et al., 2023; Hartley et al., 2024; Berry, 2023).</w:t>
      </w:r>
    </w:p>
    <w:p>
      <w:pPr>
        <w:pStyle w:val="Heading4"/>
        <w:rPr/>
      </w:pPr>
      <w:r>
        <w:rPr>
          <w:rStyle w:val="Strong"/>
          <w:b/>
          <w:bCs/>
        </w:rPr>
        <w:t>Waste and material footprints</w:t>
      </w:r>
    </w:p>
    <w:p>
      <w:pPr>
        <w:pStyle w:val="BodyText"/>
        <w:rPr/>
      </w:pPr>
      <w:r>
        <w:rPr/>
        <w:t>Footprints provide compact indicators of environmental pressure. The Ecological and Carbon Footprints initiated this “footprint family” (Wackernagel, 1994; Čuček et al., 2015), which has expanded without fully converging on a coherent framework (Giampietro and Saltelli, 2014; Vanham et al., 2019; Ridoutt and Pfister, 2013). The Material Footprint (MF)—the total supply-chain material use attributable to products, sectors, or economies—correlates strongly with damage to human health and biodiversity and is recognised by the United Nations for SDG monitoring (Wiedmann et al., 2013; Steinmann et al., 2017; Lenzen et al., 2021). By contrast, the Waste Footprint (WF)—the mass or volume of wastes generated along value chains, including hazardous fractions—remains less developed and is often overlooked, despite evidence that waste burdens are associated with environmental damage and social inequity (Laurenti et al., 2016; Laurenti et al., 2023; Doka, 2024; Ridoutt et al., 2010; Jiao et al., 2013; N. Pellow, 2023; Akese and Little, 2018). Considering WF alongside MF can reveal where material use translates into waste generation, where hazardous waste arises, and where interventions may yield the highest returns for circularity.</w:t>
      </w:r>
    </w:p>
    <w:p>
      <w:pPr>
        <w:pStyle w:val="Heading4"/>
        <w:rPr/>
      </w:pPr>
      <w:r>
        <w:rPr>
          <w:rStyle w:val="Strong"/>
          <w:b/>
          <w:bCs/>
        </w:rPr>
        <w:t>LCA: capability and gaps</w:t>
      </w:r>
    </w:p>
    <w:p>
      <w:pPr>
        <w:pStyle w:val="BodyText"/>
        <w:rPr/>
      </w:pPr>
      <w:r>
        <w:rPr/>
        <w:t>Life Cycle Assessment (LCA) is the prevailing method to quantify environmental impacts across product and service life cycles (Guinée et al., 2010). In standard practice, life cycle impact assessment (LCIA) methods (e.g., ReCiPe, CML) convert inventory flows—elementary exchanges between technosphere and biosphere—into indicator scores (Huijbregts et al., 2016; Guinée et al., 2002). Several LCIA frameworks address aspects of waste and material use (e.g., Swiss Eco-Factors, EDIP, EN15804; and the Crustal Scarcity Indicator) (Swiss Federal Office for the Environment (FOEN), 2021; Hauschild and Potting, 2004; CEN, 2019; Arvidsson et al., 2020), but they rarely provide flexible, transparent MF/WF accounting, and some rely on abstract units that complicate interpretation (e.g., Umweltbelastungspunkte) (Su, 2020). Moreover, because waste is typically modelled as a service (treatment), the magnitude and distribution of waste generation along supply chains can remain obscured, making upstream waste effectively “invisible” (Guinée and Heijungs, 2021; Laurenti et al., 2016; Beylot et al., 2018). As a result, hotspots of material use and waste generation—including hazardous waste—are not always apparent from standard impact profiles.</w:t>
      </w:r>
    </w:p>
    <w:p>
      <w:pPr>
        <w:pStyle w:val="Heading4"/>
        <w:rPr/>
      </w:pPr>
      <w:r>
        <w:rPr>
          <w:rStyle w:val="Strong"/>
          <w:b/>
          <w:bCs/>
        </w:rPr>
        <w:t>Future-oriented LCA and prospective background databases</w:t>
      </w:r>
    </w:p>
    <w:p>
      <w:pPr>
        <w:pStyle w:val="BodyText"/>
        <w:rPr/>
      </w:pPr>
      <w:r>
        <w:rPr/>
        <w:t>Emerging technologies required for deep decarbonisation will scale over coming decades, often after substantial learning and capital investment. Prospective LCA (pLCA)—also called ex-ante or anticipatory LCA—assesses likely environmental implications early enough to inform design and policy (van der Giesen et al., 2020; IPCC, 2021; IEA, 2021a). Robust pLCAs require background data that reflect plausible future economic, technological, and policy conditions. Prospective life cycle inventory (pLCI) databases therefore combine current LCI data (e.g., ecoinvent) with scenario information from integrated assessment models (IAMs) and other sources (NEEDS, 2009; Gibon et al., 2015; Hertwich et al., 2015; Cox et al., 2020; Mendoza Beltran et al., 2018; Sacchi et al., 2022; Wernet et al., 2016).</w:t>
      </w:r>
    </w:p>
    <w:p>
      <w:pPr>
        <w:pStyle w:val="BodyText"/>
        <w:rPr/>
      </w:pPr>
      <w:r>
        <w:rPr/>
        <w:t>IAM scenario frameworks typically pair a shared socio-economic pathway (SSP)—a narrative of societal development from sustainability-oriented (SSP1) to fossil-intensive (SSP5)—with a representative concentration pathway (RCP) that specifies a climate outcome via radiative forcing, corresponding to temperature goals such as 1.5–2 °C (O’Neill et al., 2014; van Vuuren et al., 2011; Liao et al., 2023; Lechtenberg et al., 2024). Implemented in IAMs, SSP×RCP pairings generate region- and sector-specific trajectories for technology deployment and emissions (Cucurachi et al., 2022; Sacchi et al., 2022). These scenarios are bounded by resource availability, infrastructure lock-in, and policy constraints such as carbon pricing, which shape feasible transitions (Pauliuk et al., 2017).</w:t>
      </w:r>
    </w:p>
    <w:p>
      <w:pPr>
        <w:pStyle w:val="Heading4"/>
        <w:rPr/>
      </w:pPr>
      <w:r>
        <w:rPr>
          <w:rStyle w:val="Strong"/>
          <w:b/>
          <w:bCs/>
        </w:rPr>
        <w:t>premise, REMIND, and sectoral transformations</w:t>
      </w:r>
    </w:p>
    <w:p>
      <w:pPr>
        <w:pStyle w:val="BodyText"/>
        <w:rPr/>
      </w:pPr>
      <w:r>
        <w:rPr/>
        <w:t>The premise workflow connects IAM projections (notably REMIND and IMAGE) to ecoinvent, producing pLCIs that regionalise markets and update process and supply-chain parameters for selected sectors (Sacchi et al., 2022; Sacchi et al., 2023). Current transformation domains include electricity generation and markets (with storage), cement (clinker ratio, kiln efficiency, optional CCS), iron and steel (process efficiency and CCS), fuels (refining, synthetic and biofuels, hydrogen), road freight (powertrain shares and fleet relinking), batteries (mass/energy-density scaling and market composition), heat supply (CO₂ factors), air-pollutant factors, and biomass markets distinguishing purpose-grown from residual feedstocks. By design, waste management is not yet a dedicated transformation domain; waste-to-energy appears indirectly via electricity markets, and other waste-sector inventories remain largely as in the base database (Sacchi et al., 2022; Sacchi et al., 2023; Bisinella et al., 2024). This gap motivates complementary tools that can expose material and waste footprints within prospective backgrounds.</w:t>
      </w:r>
    </w:p>
    <w:p>
      <w:pPr>
        <w:pStyle w:val="Heading4"/>
        <w:rPr/>
      </w:pPr>
      <w:r>
        <w:rPr>
          <w:rStyle w:val="Strong"/>
          <w:b/>
          <w:bCs/>
        </w:rPr>
        <w:t>Waste in LCA and circularity indicators</w:t>
      </w:r>
    </w:p>
    <w:p>
      <w:pPr>
        <w:pStyle w:val="BodyText"/>
        <w:rPr/>
      </w:pPr>
      <w:r>
        <w:rPr/>
        <w:t>Waste is often defined as material with negative economic value, but its practical significance extends well beyond treatment emissions (Guinée et al., 2004; Laurenti et al., 2023). Modelling waste as a service can hide the magnitude and locus of waste generation, including upstream burdens (Guinée and Heijungs, 2021; Laurenti et al., 2016). Empirical work shows associations between waste burdens and environmental damage, with disproportionate impacts on vulnerable communities (Doka, 2024; Ridoutt et al., 2010; Jiao et al., 2013; N. Pellow, 2023; Akese and Little, 2018). Reporting WF and MF alongside LCIA results helps reveal trade-offs and prioritise circular actions.</w:t>
      </w:r>
    </w:p>
    <w:p>
      <w:pPr>
        <w:pStyle w:val="Heading4"/>
        <w:rPr/>
      </w:pPr>
      <w:r>
        <w:rPr>
          <w:rStyle w:val="Strong"/>
          <w:b/>
          <w:bCs/>
        </w:rPr>
        <w:t>Prospective backgrounds: scope and limitations</w:t>
      </w:r>
    </w:p>
    <w:p>
      <w:pPr>
        <w:pStyle w:val="BodyText"/>
        <w:rPr/>
      </w:pPr>
      <w:r>
        <w:rPr/>
        <w:t>Prospective analyses depend on the availability and consistency of pLCIs. Neither IAM scenarios nor LCI databases currently provide full, high-resolution coverage across all sectors and regions. IAMs are detailed for electricity but sparser for agriculture, chemicals, and material cycles; standard LCIs prioritise current technologies, leaving emerging options under-represented (Pauliuk et al., 2017; Wernet et al., 2016). Hybridising IAM-based pLCIs with additional sources can close gaps but may introduce inconsistencies (Mendoza Beltran et al., 2018; Sacchi et al., 2022). Moreover, most pLCIs are atemporal snapshots: life-cycle stages are co-located in a reference year, so use-phase dynamics (e.g., evolving electricity mixes) are approximated (Beloin-Saint-Pierre et al., 2014; Levasseur et al., 2010). Practical workarounds include assembling analyses across multiple reference years or using temporal-average datasets, but further methodological development is needed (Beloin-Saint-Pierre et al., 2017; Cardellini et al., 2018; Pinsonnault et al., 2014).</w:t>
      </w:r>
    </w:p>
    <w:p>
      <w:pPr>
        <w:pStyle w:val="Heading4"/>
        <w:rPr/>
      </w:pPr>
      <w:r>
        <w:rPr>
          <w:rStyle w:val="Strong"/>
          <w:b/>
          <w:bCs/>
        </w:rPr>
        <w:t>Aim of this study</w:t>
      </w:r>
    </w:p>
    <w:p>
      <w:pPr>
        <w:pStyle w:val="BodyText"/>
        <w:rPr/>
      </w:pPr>
      <w:r>
        <w:rPr/>
        <w:t>This paper applies a workflow—T-reX integrated within Brightway and compatible with premise-based pLCIs—to explore and quantify waste generation (including hazardous waste) and material consumption across activities and sectors. Our objectives are to: (i) compute waste and material footprints at multiple levels of aggregation, (ii) identify hotspots along supply chains under present and prospective background conditions, and (iii) illustrate how results support circular-economy strategies and supply-chain risk management. We do not develop a new LCIA method or a new prospective database; rather, we demonstrate how targeted footprint accounting complements standard impact indicators in LCA and pLCA settings.</w:t>
      </w:r>
    </w:p>
    <w:p>
      <w:pPr>
        <w:pStyle w:val="Heading4"/>
        <w:rPr/>
      </w:pPr>
      <w:r>
        <w:rPr>
          <w:rStyle w:val="Strong"/>
          <w:b/>
          <w:bCs/>
        </w:rPr>
        <w:t>This paper’s contribution</w:t>
      </w:r>
    </w:p>
    <w:p>
      <w:pPr>
        <w:pStyle w:val="BodyText"/>
        <w:rPr/>
      </w:pPr>
      <w:r>
        <w:rPr/>
        <w:t>We implement T-reX within Brightway to compute WF and MF across products and sectors under both current and premise-based prospective backgrounds. We report total waste and hazardous-waste generation and total material consumption, highlight process- and sector-level hotspots, and discuss implications for circular-economy strategies (e.g., prevention, design for repair and remanufacturing, targeted recycling) and for risk management related to critical materials. Our analysis shows how footprint accounting complements LCIA indicators, clarifies where conventional models obscure waste generation, and provides actionable insights for policy and practice.</w:t>
      </w:r>
    </w:p>
    <w:p>
      <w:pPr>
        <w:pStyle w:val="BodyText"/>
        <w:spacing w:before="0" w:after="120"/>
        <w:ind w:hanging="0" w:start="0"/>
        <w:rPr>
          <w:lang w:val="en-GB"/>
        </w:rPr>
      </w:pPr>
      <w:r>
        <w:rPr>
          <w:lang w:val="en-GB"/>
        </w:rPr>
      </w:r>
    </w:p>
    <w:p>
      <w:pPr>
        <w:pStyle w:val="Heading1"/>
        <w:numPr>
          <w:ilvl w:val="0"/>
          <w:numId w:val="2"/>
        </w:numPr>
        <w:ind w:hanging="0" w:start="0"/>
        <w:rPr>
          <w:lang w:val="en-GB"/>
        </w:rPr>
      </w:pPr>
      <w:r>
        <w:rPr>
          <w:lang w:val="en-GB"/>
        </w:rPr>
        <w:t>Methodology (1500 words)</w:t>
      </w:r>
    </w:p>
    <w:p>
      <w:pPr>
        <w:pStyle w:val="Heading3"/>
        <w:numPr>
          <w:ilvl w:val="2"/>
          <w:numId w:val="2"/>
        </w:numPr>
        <w:ind w:hanging="0" w:start="0"/>
        <w:rPr>
          <w:lang w:val="en-GB"/>
        </w:rPr>
      </w:pPr>
      <w:bookmarkStart w:id="0" w:name="_i4"/>
      <w:bookmarkEnd w:id="0"/>
      <w:r>
        <w:rPr>
          <w:sz w:val="20"/>
          <w:szCs w:val="20"/>
          <w:lang w:val="en-GB"/>
        </w:rPr>
        <w:t>Product Selection and Life Cycle Scope</w:t>
      </w:r>
    </w:p>
    <w:p>
      <w:pPr>
        <w:pStyle w:val="Heading3"/>
        <w:numPr>
          <w:ilvl w:val="2"/>
          <w:numId w:val="2"/>
        </w:numPr>
        <w:ind w:hanging="0" w:start="0"/>
        <w:rPr>
          <w:lang w:val="en-GB"/>
        </w:rPr>
      </w:pPr>
      <w:r>
        <w:rPr>
          <w:sz w:val="20"/>
          <w:szCs w:val="20"/>
          <w:lang w:val="en-GB"/>
        </w:rPr>
        <w:t>Prospective database selection and creation</w:t>
      </w:r>
    </w:p>
    <w:p>
      <w:pPr>
        <w:pStyle w:val="Heading3"/>
        <w:numPr>
          <w:ilvl w:val="2"/>
          <w:numId w:val="2"/>
        </w:numPr>
        <w:ind w:hanging="0" w:start="0"/>
        <w:rPr>
          <w:lang w:val="en-GB"/>
        </w:rPr>
      </w:pPr>
      <w:r>
        <w:rPr>
          <w:sz w:val="20"/>
          <w:szCs w:val="20"/>
          <w:lang w:val="en-GB"/>
        </w:rPr>
        <w:t>T-reX</w:t>
      </w:r>
    </w:p>
    <w:p>
      <w:pPr>
        <w:pStyle w:val="Heading3"/>
        <w:numPr>
          <w:ilvl w:val="2"/>
          <w:numId w:val="2"/>
        </w:numPr>
        <w:ind w:hanging="0" w:start="0"/>
        <w:rPr>
          <w:lang w:val="en-GB"/>
        </w:rPr>
      </w:pPr>
      <w:bookmarkStart w:id="1" w:name="_i5"/>
      <w:bookmarkEnd w:id="1"/>
      <w:r>
        <w:rPr>
          <w:sz w:val="20"/>
          <w:szCs w:val="20"/>
          <w:lang w:val="en-GB"/>
        </w:rPr>
        <w:t>Waste and Resource Footprints</w:t>
      </w:r>
    </w:p>
    <w:p>
      <w:pPr>
        <w:pStyle w:val="Heading3"/>
        <w:numPr>
          <w:ilvl w:val="2"/>
          <w:numId w:val="2"/>
        </w:numPr>
        <w:ind w:hanging="0" w:start="0"/>
        <w:rPr>
          <w:lang w:val="en-GB"/>
        </w:rPr>
      </w:pPr>
      <w:bookmarkStart w:id="2" w:name="_i6"/>
      <w:bookmarkEnd w:id="2"/>
      <w:r>
        <w:rPr>
          <w:sz w:val="20"/>
          <w:szCs w:val="20"/>
          <w:lang w:val="en-GB"/>
        </w:rPr>
        <w:t>Damage Footprints</w:t>
      </w:r>
    </w:p>
    <w:p>
      <w:pPr>
        <w:pStyle w:val="Heading3"/>
        <w:numPr>
          <w:ilvl w:val="2"/>
          <w:numId w:val="2"/>
        </w:numPr>
        <w:ind w:hanging="0" w:start="0"/>
        <w:rPr>
          <w:lang w:val="en-GB"/>
        </w:rPr>
      </w:pPr>
      <w:bookmarkStart w:id="3" w:name="_i7"/>
      <w:bookmarkEnd w:id="3"/>
      <w:r>
        <w:rPr>
          <w:sz w:val="20"/>
          <w:szCs w:val="20"/>
          <w:lang w:val="en-GB"/>
        </w:rPr>
        <w:t>Regression Modeling</w:t>
      </w:r>
    </w:p>
    <w:p>
      <w:pPr>
        <w:pStyle w:val="BodyText"/>
        <w:ind w:hanging="0" w:start="0"/>
        <w:rPr>
          <w:lang w:val="en-GB"/>
        </w:rPr>
      </w:pPr>
      <w:r>
        <w:rPr>
          <w:lang w:val="en-GB"/>
        </w:rPr>
        <w:t>We used multiple linear regression (least-squares fitting) to relate the damage footprints to the resource footprints.</w:t>
      </w:r>
    </w:p>
    <w:p>
      <w:pPr>
        <w:pStyle w:val="Normal"/>
        <w:ind w:hanging="0" w:start="0"/>
        <w:rPr>
          <w:lang w:val="en-GB"/>
        </w:rPr>
      </w:pPr>
      <w:r>
        <w:rPr>
          <w:lang w:val="en-GB"/>
        </w:rPr>
      </w:r>
    </w:p>
    <w:p>
      <w:pPr>
        <w:pStyle w:val="Heading1"/>
        <w:numPr>
          <w:ilvl w:val="0"/>
          <w:numId w:val="2"/>
        </w:numPr>
        <w:ind w:hanging="0" w:start="0"/>
        <w:rPr>
          <w:lang w:val="en-GB"/>
        </w:rPr>
      </w:pPr>
      <w:r>
        <w:rPr>
          <w:lang w:val="en-GB"/>
        </w:rPr>
      </w:r>
    </w:p>
    <w:p>
      <w:pPr>
        <w:pStyle w:val="Heading1"/>
        <w:numPr>
          <w:ilvl w:val="0"/>
          <w:numId w:val="2"/>
        </w:numPr>
        <w:ind w:hanging="0" w:start="0"/>
        <w:rPr>
          <w:lang w:val="en-GB"/>
        </w:rPr>
      </w:pPr>
      <w:r>
        <w:rPr>
          <w:lang w:val="en-GB"/>
        </w:rPr>
      </w:r>
    </w:p>
    <w:p>
      <w:pPr>
        <w:pStyle w:val="Heading1"/>
        <w:numPr>
          <w:ilvl w:val="0"/>
          <w:numId w:val="0"/>
        </w:numPr>
        <w:ind w:hanging="0" w:start="0"/>
        <w:rPr>
          <w:lang w:val="en-GB"/>
        </w:rPr>
      </w:pPr>
      <w:r>
        <w:rPr>
          <w:lang w:val="en-GB"/>
        </w:rPr>
      </w:r>
    </w:p>
    <w:p>
      <w:pPr>
        <w:pStyle w:val="Heading1"/>
        <w:widowControl w:val="false"/>
        <w:numPr>
          <w:ilvl w:val="0"/>
          <w:numId w:val="2"/>
        </w:numPr>
        <w:bidi w:val="0"/>
        <w:rPr>
          <w:rFonts w:ascii="Times New Roman" w:hAnsi="Times New Roman" w:eastAsia="Times New Roman" w:cs="Times New Roman"/>
          <w:lang w:val="en-GB"/>
        </w:rPr>
      </w:pPr>
      <w:r>
        <w:rPr>
          <w:rFonts w:eastAsia="Times New Roman" w:cs="Times New Roman"/>
          <w:lang w:val="en-GB"/>
        </w:rPr>
        <w:t>Results (2500 words)</w:t>
      </w:r>
    </w:p>
    <w:p>
      <w:pPr>
        <w:pStyle w:val="Heading1"/>
        <w:numPr>
          <w:ilvl w:val="0"/>
          <w:numId w:val="2"/>
        </w:numPr>
        <w:rPr>
          <w:spacing w:val="-2"/>
          <w:lang w:val="en-GB"/>
        </w:rPr>
      </w:pPr>
      <w:bookmarkStart w:id="4" w:name="__RefHeading___Toc552801_2849297039"/>
      <w:bookmarkEnd w:id="4"/>
      <w:r>
        <w:rPr>
          <w:spacing w:val="-2"/>
          <w:lang w:val="en-GB"/>
        </w:rPr>
        <w:t>Discussion (1500 words)</w:t>
      </w:r>
    </w:p>
    <w:p>
      <w:pPr>
        <w:pStyle w:val="Heading4"/>
        <w:ind w:hanging="0" w:start="720"/>
        <w:rPr>
          <w:lang w:val="en-GB"/>
        </w:rPr>
      </w:pPr>
      <w:r>
        <w:rPr>
          <w:lang w:val="en-GB"/>
        </w:rPr>
        <w:t>What this study adds</w:t>
      </w:r>
    </w:p>
    <w:p>
      <w:pPr>
        <w:pStyle w:val="BodyText"/>
        <w:rPr>
          <w:lang w:val="en-GB"/>
        </w:rPr>
      </w:pPr>
      <w:r>
        <w:rPr>
          <w:lang w:val="en-GB"/>
        </w:rPr>
      </w:r>
    </w:p>
    <w:p>
      <w:pPr>
        <w:pStyle w:val="Heading4"/>
        <w:ind w:hanging="0" w:start="720"/>
        <w:rPr>
          <w:lang w:val="en-GB"/>
        </w:rPr>
      </w:pPr>
      <w:r>
        <w:rPr>
          <w:lang w:val="en-GB"/>
        </w:rPr>
        <w:t>Strengths of the approach</w:t>
      </w:r>
    </w:p>
    <w:p>
      <w:pPr>
        <w:pStyle w:val="BodyText"/>
        <w:rPr>
          <w:lang w:val="en-GB"/>
        </w:rPr>
      </w:pPr>
      <w:r>
        <w:rPr>
          <w:lang w:val="en-GB"/>
        </w:rPr>
      </w:r>
    </w:p>
    <w:p>
      <w:pPr>
        <w:pStyle w:val="Heading4"/>
        <w:ind w:hanging="0" w:start="720"/>
        <w:rPr>
          <w:lang w:val="en-GB"/>
        </w:rPr>
      </w:pPr>
      <w:r>
        <w:rPr>
          <w:lang w:val="en-GB"/>
        </w:rPr>
        <w:t>Limitations and caveats</w:t>
      </w:r>
    </w:p>
    <w:p>
      <w:pPr>
        <w:pStyle w:val="BodyText"/>
        <w:rPr>
          <w:lang w:val="en-GB"/>
        </w:rPr>
      </w:pPr>
      <w:r>
        <w:rPr>
          <w:lang w:val="en-GB"/>
        </w:rPr>
      </w:r>
    </w:p>
    <w:p>
      <w:pPr>
        <w:pStyle w:val="Heading4"/>
        <w:ind w:hanging="0" w:start="720"/>
        <w:rPr>
          <w:lang w:val="en-GB"/>
        </w:rPr>
      </w:pPr>
      <w:r>
        <w:rPr>
          <w:lang w:val="en-GB"/>
        </w:rPr>
        <w:t>Outlook and use</w:t>
      </w:r>
    </w:p>
    <w:p>
      <w:pPr>
        <w:pStyle w:val="BodyText"/>
        <w:rPr>
          <w:lang w:val="en-GB"/>
        </w:rPr>
      </w:pPr>
      <w:r>
        <w:rPr>
          <w:lang w:val="en-GB"/>
        </w:rPr>
      </w:r>
    </w:p>
    <w:p>
      <w:pPr>
        <w:pStyle w:val="BodyText"/>
        <w:rPr>
          <w:lang w:val="en-GB"/>
        </w:rPr>
      </w:pPr>
      <w:r>
        <w:rPr>
          <w:lang w:val="en-GB"/>
        </w:rPr>
      </w:r>
    </w:p>
    <w:p>
      <w:pPr>
        <w:pStyle w:val="Heading1"/>
        <w:numPr>
          <w:ilvl w:val="0"/>
          <w:numId w:val="2"/>
        </w:numPr>
        <w:tabs>
          <w:tab w:val="left" w:pos="328" w:leader="none"/>
        </w:tabs>
        <w:spacing w:before="1" w:after="120"/>
        <w:rPr>
          <w:spacing w:val="-2"/>
          <w:lang w:val="en-GB"/>
        </w:rPr>
      </w:pPr>
      <w:r>
        <w:rPr>
          <w:spacing w:val="-2"/>
          <w:lang w:val="en-GB"/>
        </w:rPr>
        <w:t>Conclusions (500 words)</w:t>
      </w:r>
    </w:p>
    <w:p>
      <w:pPr>
        <w:pStyle w:val="BodyText"/>
        <w:rPr>
          <w:lang w:val="en-GB"/>
        </w:rPr>
      </w:pPr>
      <w:r>
        <w:rPr>
          <w:lang w:val="en-GB"/>
        </w:rPr>
      </w:r>
    </w:p>
    <w:p>
      <w:pPr>
        <w:pStyle w:val="BodyText"/>
        <w:rPr>
          <w:lang w:val="en-GB"/>
        </w:rPr>
      </w:pPr>
      <w:r>
        <w:rPr>
          <w:lang w:val="en-GB"/>
        </w:rPr>
      </w:r>
    </w:p>
    <w:p>
      <w:pPr>
        <w:pStyle w:val="Heading"/>
        <w:rPr>
          <w:lang w:val="en-GB"/>
        </w:rPr>
      </w:pPr>
      <w:r>
        <w:rPr>
          <w:lang w:val="en-GB"/>
        </w:rPr>
        <w:t>Supplementary Material</w:t>
      </w:r>
    </w:p>
    <w:p>
      <w:pPr>
        <w:pStyle w:val="BodyText"/>
        <w:spacing w:lineRule="auto" w:line="247" w:before="0" w:after="120"/>
        <w:ind w:end="279"/>
        <w:rPr>
          <w:lang w:val="en-GB"/>
        </w:rPr>
      </w:pPr>
      <w:r>
        <w:rPr>
          <w:lang w:val="en-GB"/>
        </w:rPr>
        <w:t>The supplementary material supplied in the appendices of this manuscript contain the following sections:</w:t>
      </w:r>
    </w:p>
    <w:p>
      <w:pPr>
        <w:pStyle w:val="BodyText"/>
        <w:numPr>
          <w:ilvl w:val="0"/>
          <w:numId w:val="3"/>
        </w:numPr>
        <w:rPr>
          <w:lang w:val="en-GB"/>
        </w:rPr>
      </w:pPr>
      <w:r>
        <w:rPr>
          <w:lang w:val="en-GB"/>
        </w:rPr>
      </w:r>
    </w:p>
    <w:p>
      <w:pPr>
        <w:pStyle w:val="Heading"/>
        <w:rPr>
          <w:lang w:val="en-GB"/>
        </w:rPr>
      </w:pPr>
      <w:r>
        <w:rPr>
          <w:spacing w:val="-2"/>
          <w:lang w:val="en-GB"/>
        </w:rPr>
        <w:t>Data</w:t>
      </w:r>
      <w:r>
        <w:rPr>
          <w:spacing w:val="-10"/>
          <w:lang w:val="en-GB"/>
        </w:rPr>
        <w:t xml:space="preserve"> </w:t>
      </w:r>
      <w:r>
        <w:rPr>
          <w:spacing w:val="-2"/>
          <w:lang w:val="en-GB"/>
        </w:rPr>
        <w:t>availability</w:t>
      </w:r>
    </w:p>
    <w:p>
      <w:pPr>
        <w:pStyle w:val="BodyText"/>
        <w:rPr>
          <w:lang w:val="en-GB"/>
        </w:rPr>
      </w:pPr>
      <w:r>
        <w:rPr>
          <w:w w:val="110"/>
          <w:lang w:val="en-GB"/>
        </w:rPr>
        <w:t>All</w:t>
      </w:r>
      <w:r>
        <w:rPr>
          <w:spacing w:val="-3"/>
          <w:w w:val="110"/>
          <w:lang w:val="en-GB"/>
        </w:rPr>
        <w:t xml:space="preserve"> </w:t>
      </w:r>
      <w:r>
        <w:rPr>
          <w:w w:val="110"/>
          <w:lang w:val="en-GB"/>
        </w:rPr>
        <w:t>publicly</w:t>
      </w:r>
      <w:r>
        <w:rPr>
          <w:spacing w:val="-3"/>
          <w:w w:val="110"/>
          <w:lang w:val="en-GB"/>
        </w:rPr>
        <w:t xml:space="preserve"> </w:t>
      </w:r>
      <w:r>
        <w:rPr>
          <w:w w:val="110"/>
          <w:lang w:val="en-GB"/>
        </w:rPr>
        <w:t>available</w:t>
      </w:r>
      <w:r>
        <w:rPr>
          <w:spacing w:val="-3"/>
          <w:w w:val="110"/>
          <w:lang w:val="en-GB"/>
        </w:rPr>
        <w:t xml:space="preserve"> data related to the development of the scenarios and the composition of this manuscript is available in online repositories hosted by Zenodo (</w:t>
      </w:r>
      <w:r>
        <w:rPr>
          <w:rStyle w:val="Hyperlink"/>
          <w:spacing w:val="-3"/>
          <w:w w:val="110"/>
          <w:lang w:val="en-GB"/>
        </w:rPr>
        <w:t>https://doi.org/10.5281/zenodo.16995460</w:t>
      </w:r>
      <w:r>
        <w:rPr>
          <w:spacing w:val="-3"/>
          <w:w w:val="110"/>
          <w:lang w:val="en-GB"/>
        </w:rPr>
        <w:t>) and Github (</w:t>
      </w:r>
      <w:hyperlink r:id="rId2">
        <w:r>
          <w:rPr>
            <w:rStyle w:val="Hyperlink"/>
            <w:spacing w:val="-3"/>
            <w:w w:val="110"/>
            <w:lang w:val="en-GB"/>
          </w:rPr>
          <w:t>https://github.com/Stew-McD/T-reX_LCA-MacroStudy</w:t>
        </w:r>
      </w:hyperlink>
      <w:r>
        <w:rPr>
          <w:spacing w:val="-3"/>
          <w:w w:val="110"/>
          <w:lang w:val="en-GB"/>
        </w:rPr>
        <w:t>)</w:t>
      </w:r>
    </w:p>
    <w:p>
      <w:pPr>
        <w:pStyle w:val="Heading"/>
        <w:rPr>
          <w:lang w:val="en-GB"/>
        </w:rPr>
      </w:pPr>
      <w:r>
        <w:rPr>
          <w:lang w:val="en-GB"/>
        </w:rPr>
        <w:t>Acknowledgements</w:t>
      </w:r>
    </w:p>
    <w:p>
      <w:pPr>
        <w:pStyle w:val="BodyText"/>
        <w:rPr>
          <w:lang w:val="en-GB"/>
        </w:rPr>
      </w:pPr>
      <w:r>
        <w:rPr>
          <w:lang w:val="en-GB"/>
        </w:rPr>
        <w:t>This research project was financially supported by</w:t>
      </w:r>
      <w:r>
        <w:rPr>
          <w:spacing w:val="-13"/>
          <w:lang w:val="en-GB"/>
        </w:rPr>
        <w:t xml:space="preserve"> </w:t>
      </w:r>
      <w:r>
        <w:rPr>
          <w:lang w:val="en-GB"/>
        </w:rPr>
        <w:t>the</w:t>
      </w:r>
      <w:r>
        <w:rPr>
          <w:spacing w:val="-12"/>
          <w:lang w:val="en-GB"/>
        </w:rPr>
        <w:t xml:space="preserve"> </w:t>
      </w:r>
      <w:r>
        <w:rPr>
          <w:lang w:val="en-GB"/>
        </w:rPr>
        <w:t>European</w:t>
      </w:r>
      <w:r>
        <w:rPr>
          <w:spacing w:val="-13"/>
          <w:lang w:val="en-GB"/>
        </w:rPr>
        <w:t xml:space="preserve"> </w:t>
      </w:r>
      <w:r>
        <w:rPr>
          <w:lang w:val="en-GB"/>
        </w:rPr>
        <w:t>Union’s</w:t>
      </w:r>
      <w:r>
        <w:rPr>
          <w:spacing w:val="-12"/>
          <w:lang w:val="en-GB"/>
        </w:rPr>
        <w:t xml:space="preserve"> </w:t>
      </w:r>
      <w:r>
        <w:rPr>
          <w:lang w:val="en-GB"/>
        </w:rPr>
        <w:t>Horizon</w:t>
      </w:r>
      <w:r>
        <w:rPr>
          <w:spacing w:val="-13"/>
          <w:lang w:val="en-GB"/>
        </w:rPr>
        <w:t xml:space="preserve"> </w:t>
      </w:r>
      <w:r>
        <w:rPr>
          <w:lang w:val="en-GB"/>
        </w:rPr>
        <w:t>2020</w:t>
      </w:r>
      <w:r>
        <w:rPr>
          <w:spacing w:val="-12"/>
          <w:lang w:val="en-GB"/>
        </w:rPr>
        <w:t xml:space="preserve"> </w:t>
      </w:r>
      <w:r>
        <w:rPr>
          <w:lang w:val="en-GB"/>
        </w:rPr>
        <w:t>research</w:t>
      </w:r>
      <w:r>
        <w:rPr>
          <w:spacing w:val="-13"/>
          <w:lang w:val="en-GB"/>
        </w:rPr>
        <w:t xml:space="preserve"> </w:t>
      </w:r>
      <w:r>
        <w:rPr>
          <w:lang w:val="en-GB"/>
        </w:rPr>
        <w:t>and</w:t>
      </w:r>
      <w:r>
        <w:rPr>
          <w:spacing w:val="-12"/>
          <w:lang w:val="en-GB"/>
        </w:rPr>
        <w:t xml:space="preserve"> </w:t>
      </w:r>
      <w:r>
        <w:rPr>
          <w:lang w:val="en-GB"/>
        </w:rPr>
        <w:t xml:space="preserve">innovation programme under the grant agreement No. 101058522 (project FutuRaM — </w:t>
      </w:r>
      <w:hyperlink r:id="rId3">
        <w:r>
          <w:rPr>
            <w:rStyle w:val="Hyperlink"/>
            <w:lang w:val="en-GB"/>
          </w:rPr>
          <w:t>futuram.eu</w:t>
        </w:r>
      </w:hyperlink>
      <w:r>
        <w:rPr>
          <w:lang w:val="en-GB"/>
        </w:rPr>
        <w:t xml:space="preserve">). The authors would like to thank the reviewers for their valuable comments and </w:t>
      </w:r>
      <w:r>
        <w:rPr>
          <w:spacing w:val="-2"/>
          <w:lang w:val="en-GB"/>
        </w:rPr>
        <w:t>suggestions.</w:t>
      </w:r>
    </w:p>
    <w:p>
      <w:pPr>
        <w:pStyle w:val="Heading"/>
        <w:rPr>
          <w:lang w:val="en-GB"/>
        </w:rPr>
      </w:pPr>
      <w:r>
        <w:rPr>
          <w:lang w:val="en-GB"/>
        </w:rPr>
        <w:t>CRediT authorship contribution statement</w:t>
      </w:r>
    </w:p>
    <w:p>
      <w:pPr>
        <w:pStyle w:val="BodyText"/>
        <w:spacing w:lineRule="auto" w:line="247" w:before="80" w:after="120"/>
        <w:ind w:firstLine="308" w:start="24" w:end="14"/>
        <w:rPr>
          <w:lang w:val="en-GB"/>
        </w:rPr>
      </w:pPr>
      <w:r>
        <w:rPr>
          <w:b/>
          <w:lang w:val="en-GB"/>
        </w:rPr>
        <w:t xml:space="preserve">Stewart Charles McDowall: </w:t>
      </w:r>
      <w:r>
        <w:rPr>
          <w:lang w:val="en-GB"/>
        </w:rPr>
        <w:t>Conceptualisation, Methodology, Investigation, Data curation, Formal analysis, Validation, Visualisation, Writing: original draft, Writing: review &amp; editing, Visualisation.</w:t>
      </w:r>
    </w:p>
    <w:p>
      <w:pPr>
        <w:pStyle w:val="BodyText"/>
        <w:spacing w:lineRule="auto" w:line="247" w:before="80" w:after="120"/>
        <w:ind w:firstLine="308" w:start="24" w:end="14"/>
        <w:rPr>
          <w:lang w:val="en-GB"/>
        </w:rPr>
      </w:pPr>
      <w:r>
        <w:rPr>
          <w:b/>
          <w:spacing w:val="-2"/>
          <w:lang w:val="en-GB"/>
        </w:rPr>
        <w:t xml:space="preserve">Carlos Felipe Blanco: </w:t>
      </w:r>
      <w:r>
        <w:rPr>
          <w:b w:val="false"/>
          <w:bCs w:val="false"/>
          <w:spacing w:val="-2"/>
          <w:lang w:val="en-GB"/>
        </w:rPr>
        <w:t xml:space="preserve">Conceptualisation, Methodology, Validation, </w:t>
      </w:r>
      <w:r>
        <w:rPr>
          <w:spacing w:val="-2"/>
          <w:lang w:val="en-GB"/>
        </w:rPr>
        <w:t>Writ</w:t>
      </w:r>
      <w:r>
        <w:rPr>
          <w:lang w:val="en-GB"/>
        </w:rPr>
        <w:t>ing: review &amp; editing, Funding acquisition, Supervision.</w:t>
      </w:r>
    </w:p>
    <w:p>
      <w:pPr>
        <w:pStyle w:val="BodyText"/>
        <w:spacing w:lineRule="auto" w:line="247" w:before="80" w:after="120"/>
        <w:ind w:firstLine="308" w:start="24" w:end="14"/>
        <w:rPr>
          <w:lang w:val="en-GB"/>
        </w:rPr>
      </w:pPr>
      <w:r>
        <w:rPr>
          <w:b/>
          <w:lang w:val="en-GB"/>
        </w:rPr>
        <w:t xml:space="preserve">Stefano Cucurachi: </w:t>
      </w:r>
      <w:r>
        <w:rPr>
          <w:b w:val="false"/>
          <w:bCs w:val="false"/>
          <w:spacing w:val="-2"/>
          <w:lang w:val="en-GB"/>
        </w:rPr>
        <w:t xml:space="preserve">Conceptualisation, Methodology, Validation, </w:t>
      </w:r>
      <w:r>
        <w:rPr>
          <w:lang w:val="en-GB"/>
        </w:rPr>
        <w:t>Writing: review</w:t>
      </w:r>
      <w:r>
        <w:rPr>
          <w:spacing w:val="40"/>
          <w:lang w:val="en-GB"/>
        </w:rPr>
        <w:t xml:space="preserve"> </w:t>
      </w:r>
      <w:r>
        <w:rPr>
          <w:lang w:val="en-GB"/>
        </w:rPr>
        <w:t xml:space="preserve">&amp; editing, </w:t>
      </w:r>
      <w:r>
        <w:rPr>
          <w:spacing w:val="-2"/>
          <w:lang w:val="en-GB"/>
        </w:rPr>
        <w:t>Funding acquisition, Supervision.</w:t>
      </w:r>
    </w:p>
    <w:p>
      <w:pPr>
        <w:pStyle w:val="BodyText"/>
        <w:spacing w:lineRule="auto" w:line="247" w:before="80" w:after="120"/>
        <w:ind w:firstLine="308" w:start="24" w:end="14"/>
        <w:rPr>
          <w:spacing w:val="-2"/>
        </w:rPr>
      </w:pPr>
      <w:r>
        <w:rPr>
          <w:spacing w:val="-2"/>
        </w:rPr>
      </w:r>
    </w:p>
    <w:p>
      <w:pPr>
        <w:pStyle w:val="Figure"/>
        <w:rPr>
          <w:lang w:val="en-GB"/>
        </w:rPr>
      </w:pPr>
      <w:r>
        <w:rPr/>
        <mc:AlternateContent>
          <mc:Choice Requires="wps">
            <w:drawing>
              <wp:inline distT="0" distB="0" distL="0" distR="0">
                <wp:extent cx="2014855" cy="3148330"/>
                <wp:effectExtent l="0" t="0" r="0" b="0"/>
                <wp:docPr id="2" name="Frame1"/>
                <a:graphic xmlns:a="http://schemas.openxmlformats.org/drawingml/2006/main">
                  <a:graphicData uri="http://schemas.microsoft.com/office/word/2010/wordprocessingShape">
                    <wps:wsp>
                      <wps:cNvSpPr/>
                      <wps:spPr>
                        <a:xfrm>
                          <a:off x="0" y="0"/>
                          <a:ext cx="2014920" cy="3148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CRediT authorship visualisation</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247.95pt;width:158.6pt;height:247.85pt;mso-wrap-style:square;v-text-anchor:top;mso-position-vertical:top">
                <v:fill o:detectmouseclick="t" type="solid" color2="black"/>
                <v:stroke color="#3465a4" joinstyle="round" endcap="flat"/>
                <v:textbox>
                  <w:txbxContent>
                    <w:p>
                      <w:pPr>
                        <w:pStyle w:val="Figure"/>
                        <w:spacing w:before="120" w:after="12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CRediT authorship visualisation</w:t>
                      </w:r>
                    </w:p>
                  </w:txbxContent>
                </v:textbox>
                <w10:wrap type="square"/>
              </v:rect>
            </w:pict>
          </mc:Fallback>
        </mc:AlternateContent>
      </w:r>
    </w:p>
    <w:p>
      <w:pPr>
        <w:pStyle w:val="Heading"/>
        <w:rPr>
          <w:lang w:val="en-GB"/>
        </w:rPr>
      </w:pPr>
      <w:r>
        <w:rPr>
          <w:lang w:val="en-GB"/>
        </w:rPr>
        <w:t>Declaration</w:t>
      </w:r>
      <w:r>
        <w:rPr>
          <w:spacing w:val="-2"/>
          <w:lang w:val="en-GB"/>
        </w:rPr>
        <w:t>s</w:t>
      </w:r>
    </w:p>
    <w:p>
      <w:pPr>
        <w:pStyle w:val="Header"/>
        <w:jc w:val="both"/>
        <w:rPr>
          <w:b/>
          <w:bCs/>
          <w:lang w:val="en-GB"/>
        </w:rPr>
      </w:pPr>
      <w:r>
        <w:rPr>
          <w:b/>
          <w:bCs/>
          <w:lang w:val="en-GB"/>
        </w:rPr>
        <w:t>Competing interests</w:t>
      </w:r>
    </w:p>
    <w:p>
      <w:pPr>
        <w:pStyle w:val="Header"/>
        <w:jc w:val="both"/>
        <w:rPr>
          <w:lang w:val="en-GB"/>
        </w:rPr>
      </w:pPr>
      <w:r>
        <w:rPr>
          <w:w w:val="105"/>
          <w:lang w:val="en-GB"/>
        </w:rPr>
        <w:t>The</w:t>
      </w:r>
      <w:r>
        <w:rPr>
          <w:spacing w:val="-9"/>
          <w:w w:val="105"/>
          <w:lang w:val="en-GB"/>
        </w:rPr>
        <w:t xml:space="preserve"> </w:t>
      </w:r>
      <w:r>
        <w:rPr>
          <w:w w:val="105"/>
          <w:lang w:val="en-GB"/>
        </w:rPr>
        <w:t>authors</w:t>
      </w:r>
      <w:r>
        <w:rPr>
          <w:spacing w:val="-9"/>
          <w:w w:val="105"/>
          <w:lang w:val="en-GB"/>
        </w:rPr>
        <w:t xml:space="preserve"> </w:t>
      </w:r>
      <w:r>
        <w:rPr>
          <w:w w:val="105"/>
          <w:lang w:val="en-GB"/>
        </w:rPr>
        <w:t>declare</w:t>
      </w:r>
      <w:r>
        <w:rPr>
          <w:spacing w:val="-9"/>
          <w:w w:val="105"/>
          <w:lang w:val="en-GB"/>
        </w:rPr>
        <w:t xml:space="preserve"> </w:t>
      </w:r>
      <w:r>
        <w:rPr>
          <w:w w:val="105"/>
          <w:lang w:val="en-GB"/>
        </w:rPr>
        <w:t>that</w:t>
      </w:r>
      <w:r>
        <w:rPr>
          <w:spacing w:val="-9"/>
          <w:w w:val="105"/>
          <w:lang w:val="en-GB"/>
        </w:rPr>
        <w:t xml:space="preserve"> </w:t>
      </w:r>
      <w:r>
        <w:rPr>
          <w:w w:val="105"/>
          <w:lang w:val="en-GB"/>
        </w:rPr>
        <w:t>they</w:t>
      </w:r>
      <w:r>
        <w:rPr>
          <w:spacing w:val="-9"/>
          <w:w w:val="105"/>
          <w:lang w:val="en-GB"/>
        </w:rPr>
        <w:t xml:space="preserve"> </w:t>
      </w:r>
      <w:r>
        <w:rPr>
          <w:w w:val="105"/>
          <w:lang w:val="en-GB"/>
        </w:rPr>
        <w:t>have</w:t>
      </w:r>
      <w:r>
        <w:rPr>
          <w:spacing w:val="-9"/>
          <w:w w:val="105"/>
          <w:lang w:val="en-GB"/>
        </w:rPr>
        <w:t xml:space="preserve"> </w:t>
      </w:r>
      <w:r>
        <w:rPr>
          <w:w w:val="105"/>
          <w:lang w:val="en-GB"/>
        </w:rPr>
        <w:t>no</w:t>
      </w:r>
      <w:r>
        <w:rPr>
          <w:spacing w:val="-9"/>
          <w:w w:val="105"/>
          <w:lang w:val="en-GB"/>
        </w:rPr>
        <w:t xml:space="preserve"> </w:t>
      </w:r>
      <w:r>
        <w:rPr>
          <w:w w:val="105"/>
          <w:lang w:val="en-GB"/>
        </w:rPr>
        <w:t>known</w:t>
      </w:r>
      <w:r>
        <w:rPr>
          <w:spacing w:val="-9"/>
          <w:w w:val="105"/>
          <w:lang w:val="en-GB"/>
        </w:rPr>
        <w:t xml:space="preserve"> </w:t>
      </w:r>
      <w:r>
        <w:rPr>
          <w:w w:val="105"/>
          <w:lang w:val="en-GB"/>
        </w:rPr>
        <w:t>competing</w:t>
      </w:r>
      <w:r>
        <w:rPr>
          <w:spacing w:val="-10"/>
          <w:w w:val="105"/>
          <w:lang w:val="en-GB"/>
        </w:rPr>
        <w:t xml:space="preserve"> </w:t>
      </w:r>
      <w:r>
        <w:rPr>
          <w:w w:val="105"/>
          <w:lang w:val="en-GB"/>
        </w:rPr>
        <w:t>financial</w:t>
      </w:r>
      <w:r>
        <w:rPr>
          <w:spacing w:val="-10"/>
          <w:w w:val="105"/>
          <w:lang w:val="en-GB"/>
        </w:rPr>
        <w:t xml:space="preserve"> </w:t>
      </w:r>
      <w:r>
        <w:rPr>
          <w:w w:val="105"/>
          <w:lang w:val="en-GB"/>
        </w:rPr>
        <w:t>interests</w:t>
      </w:r>
      <w:r>
        <w:rPr>
          <w:spacing w:val="-10"/>
          <w:w w:val="105"/>
          <w:lang w:val="en-GB"/>
        </w:rPr>
        <w:t xml:space="preserve"> </w:t>
      </w:r>
      <w:r>
        <w:rPr>
          <w:w w:val="105"/>
          <w:lang w:val="en-GB"/>
        </w:rPr>
        <w:t>or</w:t>
      </w:r>
      <w:r>
        <w:rPr>
          <w:spacing w:val="-10"/>
          <w:w w:val="105"/>
          <w:lang w:val="en-GB"/>
        </w:rPr>
        <w:t xml:space="preserve"> </w:t>
      </w:r>
      <w:r>
        <w:rPr>
          <w:w w:val="105"/>
          <w:lang w:val="en-GB"/>
        </w:rPr>
        <w:t>personal</w:t>
      </w:r>
      <w:r>
        <w:rPr>
          <w:spacing w:val="-10"/>
          <w:w w:val="105"/>
          <w:lang w:val="en-GB"/>
        </w:rPr>
        <w:t xml:space="preserve"> </w:t>
      </w:r>
      <w:r>
        <w:rPr>
          <w:w w:val="105"/>
          <w:lang w:val="en-GB"/>
        </w:rPr>
        <w:t>relationships</w:t>
      </w:r>
      <w:r>
        <w:rPr>
          <w:spacing w:val="-10"/>
          <w:w w:val="105"/>
          <w:lang w:val="en-GB"/>
        </w:rPr>
        <w:t xml:space="preserve"> </w:t>
      </w:r>
      <w:r>
        <w:rPr>
          <w:w w:val="105"/>
          <w:lang w:val="en-GB"/>
        </w:rPr>
        <w:t xml:space="preserve">that could </w:t>
      </w:r>
      <w:r>
        <w:rPr>
          <w:lang w:val="en-GB"/>
        </w:rPr>
        <w:t>have</w:t>
      </w:r>
      <w:r>
        <w:rPr>
          <w:spacing w:val="4"/>
          <w:lang w:val="en-GB"/>
        </w:rPr>
        <w:t xml:space="preserve"> </w:t>
      </w:r>
      <w:r>
        <w:rPr>
          <w:lang w:val="en-GB"/>
        </w:rPr>
        <w:t>appeared</w:t>
      </w:r>
      <w:r>
        <w:rPr>
          <w:spacing w:val="5"/>
          <w:lang w:val="en-GB"/>
        </w:rPr>
        <w:t xml:space="preserve"> </w:t>
      </w:r>
      <w:r>
        <w:rPr>
          <w:lang w:val="en-GB"/>
        </w:rPr>
        <w:t>to</w:t>
      </w:r>
      <w:r>
        <w:rPr>
          <w:spacing w:val="5"/>
          <w:lang w:val="en-GB"/>
        </w:rPr>
        <w:t xml:space="preserve"> </w:t>
      </w:r>
      <w:r>
        <w:rPr>
          <w:lang w:val="en-GB"/>
        </w:rPr>
        <w:t>influence</w:t>
      </w:r>
      <w:r>
        <w:rPr>
          <w:spacing w:val="6"/>
          <w:lang w:val="en-GB"/>
        </w:rPr>
        <w:t xml:space="preserve"> </w:t>
      </w:r>
      <w:r>
        <w:rPr>
          <w:lang w:val="en-GB"/>
        </w:rPr>
        <w:t>the</w:t>
      </w:r>
      <w:r>
        <w:rPr>
          <w:spacing w:val="5"/>
          <w:lang w:val="en-GB"/>
        </w:rPr>
        <w:t xml:space="preserve"> </w:t>
      </w:r>
      <w:r>
        <w:rPr>
          <w:lang w:val="en-GB"/>
        </w:rPr>
        <w:t>work</w:t>
      </w:r>
      <w:r>
        <w:rPr>
          <w:spacing w:val="4"/>
          <w:lang w:val="en-GB"/>
        </w:rPr>
        <w:t xml:space="preserve"> </w:t>
      </w:r>
      <w:r>
        <w:rPr>
          <w:lang w:val="en-GB"/>
        </w:rPr>
        <w:t>reported</w:t>
      </w:r>
      <w:r>
        <w:rPr>
          <w:spacing w:val="6"/>
          <w:lang w:val="en-GB"/>
        </w:rPr>
        <w:t xml:space="preserve"> </w:t>
      </w:r>
      <w:r>
        <w:rPr>
          <w:lang w:val="en-GB"/>
        </w:rPr>
        <w:t>in</w:t>
      </w:r>
      <w:r>
        <w:rPr>
          <w:spacing w:val="5"/>
          <w:lang w:val="en-GB"/>
        </w:rPr>
        <w:t xml:space="preserve"> </w:t>
      </w:r>
      <w:r>
        <w:rPr>
          <w:lang w:val="en-GB"/>
        </w:rPr>
        <w:t>this</w:t>
      </w:r>
      <w:r>
        <w:rPr>
          <w:spacing w:val="5"/>
          <w:lang w:val="en-GB"/>
        </w:rPr>
        <w:t xml:space="preserve"> </w:t>
      </w:r>
      <w:r>
        <w:rPr>
          <w:spacing w:val="-2"/>
          <w:lang w:val="en-GB"/>
        </w:rPr>
        <w:t>paper.</w:t>
      </w:r>
    </w:p>
    <w:p>
      <w:pPr>
        <w:pStyle w:val="Header"/>
        <w:jc w:val="both"/>
        <w:rPr>
          <w:spacing w:val="-2"/>
        </w:rPr>
      </w:pPr>
      <w:r>
        <w:rPr>
          <w:spacing w:val="-2"/>
        </w:rPr>
      </w:r>
    </w:p>
    <w:p>
      <w:pPr>
        <w:pStyle w:val="Header"/>
        <w:jc w:val="both"/>
        <w:rPr>
          <w:b/>
          <w:bCs/>
          <w:lang w:val="en-GB"/>
        </w:rPr>
      </w:pPr>
      <w:r>
        <w:rPr>
          <w:b/>
          <w:bCs/>
          <w:lang w:val="en-GB"/>
        </w:rPr>
        <w:t>Open access</w:t>
      </w:r>
    </w:p>
    <w:p>
      <w:pPr>
        <w:pStyle w:val="Header"/>
        <w:jc w:val="both"/>
        <w:rPr/>
      </w:pPr>
      <w:r>
        <w:rPr>
          <w:lang w:val="en-GB"/>
        </w:rPr>
        <w:t xml:space="preserve">This article is licensed under a Creative Commons Attribution 4.0 International </w:t>
      </w:r>
      <w:r>
        <w:rPr>
          <w:lang w:val="en-US"/>
        </w:rPr>
        <w:t>Licence</w:t>
      </w:r>
      <w:r>
        <w:rPr>
          <w:lang w:val="en-GB"/>
        </w:rPr>
        <w:t xml:space="preserve">, which permits use, sharing, adaptation, distribution, and reproduction in any medium or format, as long as you give appropriate credit to the original author(s) and the source, provide a link to the Creative Commons licence, and indicate if changes were made. The images or other third party material in this article are included in the article’s Creative Commons licence, unless indicated otherwise in a credit line to the material. If material is not included in the article’s Creative Commons licence and your intended use is not permitted by statutory regulation or exceeds the permitted use, you will need to obtain permission directly from the copyright holder. To view a copy of this licence, visit </w:t>
      </w:r>
      <w:hyperlink r:id="rId4">
        <w:r>
          <w:rPr>
            <w:rStyle w:val="Hyperlink"/>
            <w:lang w:val="en-GB"/>
          </w:rPr>
          <w:t>http://creativecommons.org/licenses/by/4.0/</w:t>
        </w:r>
      </w:hyperlink>
      <w:r>
        <w:rPr>
          <w:lang w:val="en-GB"/>
        </w:rPr>
        <w:t>.</w:t>
      </w:r>
    </w:p>
    <w:p>
      <w:pPr>
        <w:pStyle w:val="Header"/>
        <w:jc w:val="both"/>
        <w:rPr>
          <w:lang w:val="en-GB"/>
        </w:rPr>
      </w:pPr>
      <w:r>
        <w:rPr>
          <w:lang w:val="en-GB"/>
        </w:rPr>
      </w:r>
    </w:p>
    <w:p>
      <w:pPr>
        <w:pStyle w:val="Header"/>
        <w:jc w:val="both"/>
        <w:rPr/>
      </w:pPr>
      <w:r>
        <w:rPr>
          <w:rStyle w:val="Strong"/>
          <w:lang w:val="en-GB"/>
        </w:rPr>
        <w:t>Use of artificial intelligence</w:t>
      </w:r>
    </w:p>
    <w:p>
      <w:pPr>
        <w:pStyle w:val="Header"/>
        <w:jc w:val="both"/>
        <w:rPr>
          <w:lang w:val="en-GB"/>
        </w:rPr>
      </w:pPr>
      <w:r>
        <w:rPr>
          <w:lang w:val="en-GB"/>
        </w:rPr>
        <w:t>The authors declare that no generative artificial intelligence tools were used in the generation of the research data or results reported in this paper. Generative AI was used solely to assist in the editing and refinement of the manuscript text, with all content reviewed and approved by the authors.</w:t>
      </w:r>
      <w:r>
        <w:br w:type="page"/>
      </w:r>
    </w:p>
    <w:p>
      <w:pPr>
        <w:pStyle w:val="Heading"/>
        <w:spacing w:before="0" w:after="0"/>
        <w:rPr>
          <w:lang w:val="en-GB"/>
        </w:rPr>
      </w:pPr>
      <w:r>
        <w:rPr>
          <w:lang w:val="en-GB"/>
        </w:rPr>
        <w:t>References</w:t>
      </w:r>
      <w:r>
        <w:br w:type="page"/>
      </w:r>
    </w:p>
    <w:p>
      <w:pPr>
        <w:sectPr>
          <w:headerReference w:type="even" r:id="rId5"/>
          <w:headerReference w:type="default" r:id="rId6"/>
          <w:headerReference w:type="first" r:id="rId7"/>
          <w:footerReference w:type="even" r:id="rId8"/>
          <w:footerReference w:type="default" r:id="rId9"/>
          <w:footerReference w:type="first" r:id="rId10"/>
          <w:type w:val="nextPage"/>
          <w:pgSz w:w="11906" w:h="16838"/>
          <w:pgMar w:left="1417" w:right="1417" w:gutter="0" w:header="1417" w:top="1999" w:footer="1417" w:bottom="1936"/>
          <w:lnNumType w:countBy="1" w:restart="continuous" w:distance="283"/>
          <w:pgNumType w:fmt="decimal"/>
          <w:formProt w:val="false"/>
          <w:textDirection w:val="lrTb"/>
          <w:docGrid w:type="default" w:linePitch="100" w:charSpace="4096"/>
        </w:sectPr>
        <w:pStyle w:val="BodyText"/>
        <w:spacing w:before="0" w:after="0"/>
        <w:rPr>
          <w:lang w:val="en-GB"/>
        </w:rPr>
      </w:pPr>
      <w:r>
        <w:rPr>
          <w:lang w:val="en-GB"/>
        </w:rPr>
        <w:t>Tables</w:t>
      </w:r>
    </w:p>
    <w:p>
      <w:pPr>
        <w:pStyle w:val="Heading1"/>
        <w:numPr>
          <w:ilvl w:val="0"/>
          <w:numId w:val="0"/>
        </w:numPr>
        <w:spacing w:before="0" w:after="120"/>
        <w:ind w:hanging="0" w:start="0"/>
        <w:jc w:val="start"/>
        <w:rPr>
          <w:spacing w:val="-2"/>
          <w:lang w:val="en-GB"/>
        </w:rPr>
      </w:pPr>
      <w:r>
        <w:rPr>
          <w:spacing w:val="-2"/>
          <w:lang w:val="en-GB"/>
        </w:rPr>
        <w:t>Supplementary material</w:t>
      </w:r>
    </w:p>
    <w:p>
      <w:pPr>
        <w:pStyle w:val="Heading2"/>
        <w:numPr>
          <w:ilvl w:val="0"/>
          <w:numId w:val="4"/>
        </w:numPr>
        <w:spacing w:before="82" w:after="120"/>
        <w:rPr>
          <w:lang w:val="en-GB"/>
        </w:rPr>
      </w:pPr>
      <w:r>
        <w:rPr>
          <w:lang w:val="en-GB"/>
        </w:rPr>
      </w:r>
    </w:p>
    <w:sectPr>
      <w:headerReference w:type="even" r:id="rId11"/>
      <w:headerReference w:type="default" r:id="rId12"/>
      <w:headerReference w:type="first" r:id="rId13"/>
      <w:footerReference w:type="even" r:id="rId14"/>
      <w:footerReference w:type="default" r:id="rId15"/>
      <w:footerReference w:type="first" r:id="rId16"/>
      <w:type w:val="nextPage"/>
      <w:pgSz w:orient="landscape" w:w="15874" w:h="11906"/>
      <w:pgMar w:left="1134" w:right="1134" w:gutter="0" w:header="1134" w:top="1716" w:footer="1134" w:bottom="1648"/>
      <w:lnNumType w:countBy="1" w:restart="continuous" w:distance="283"/>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ourier New">
    <w:charset w:val="01" w:characterSet="utf-8"/>
    <w:family w:val="roman"/>
    <w:pitch w:val="variable"/>
  </w:font>
  <w:font w:name="OpenSymbol">
    <w:altName w:val="Arial Unicode MS"/>
    <w:charset w:val="01" w:characterSet="utf-8"/>
    <w:family w:val="roman"/>
    <w:pitch w:val="variable"/>
    <w:embedRegular r:id="rId13" w:fontKey="{0D014A78-CABC-4EF0-12AC-5CD89AEFDE0D}"/>
  </w:font>
  <w:font w:name="Arial">
    <w:charset w:val="01" w:characterSet="utf-8"/>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mono">
    <w:charset w:val="01" w:characterSet="utf-8"/>
    <w:family w:val="roman"/>
    <w:pitch w:val="variable"/>
  </w:font>
  <w:font w:name="Liberation Mono">
    <w:altName w:val="Courier New"/>
    <w:charset w:val="01" w:characterSet="utf-8"/>
    <w:family w:val="roman"/>
    <w:pitch w:val="variable"/>
  </w:font>
  <w:font w:name="C059">
    <w:charset w:val="01" w:characterSet="utf-8"/>
    <w:family w:val="roman"/>
    <w:pitch w:val="variable"/>
    <w:embedRegular r:id="rId14" w:fontKey="{0E014A78-CABC-4EF0-12AC-5CD89AEFDE0E}"/>
    <w:embedBold r:id="rId15" w:fontKey="{0F014A78-CABC-4EF0-12AC-5CD89AEFDE0F}"/>
    <w:embedItalic r:id="rId16" w:fontKey="{10014A78-CABC-4EF0-12AC-5CD89AEFDE10}"/>
    <w:embedBoldItalic r:id="rId17" w:fontKey="{11014A78-CABC-4EF0-12AC-5CD89AEFDE11}"/>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5" w:name="PageNumWizard_FOOTER_Default_Page_Style1"/>
    <w:r>
      <w:rPr/>
      <w:fldChar w:fldCharType="begin"/>
    </w:r>
    <w:r>
      <w:rPr/>
      <w:instrText xml:space="preserve"> PAGE </w:instrText>
    </w:r>
    <w:r>
      <w:rPr/>
      <w:fldChar w:fldCharType="separate"/>
    </w:r>
    <w:r>
      <w:rPr/>
      <w:t>16</w:t>
    </w:r>
    <w:r>
      <w:rPr/>
      <w:fldChar w:fldCharType="end"/>
    </w:r>
    <w:bookmarkEnd w:id="5"/>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6" w:name="PageNumWizard_FOOTER_Default_Page_Style1"/>
    <w:r>
      <w:rPr/>
      <w:fldChar w:fldCharType="begin"/>
    </w:r>
    <w:r>
      <w:rPr/>
      <w:instrText xml:space="preserve"> PAGE </w:instrText>
    </w:r>
    <w:r>
      <w:rPr/>
      <w:fldChar w:fldCharType="separate"/>
    </w:r>
    <w:r>
      <w:rPr/>
      <w:t>16</w:t>
    </w:r>
    <w:r>
      <w:rPr/>
      <w:fldChar w:fldCharType="end"/>
    </w:r>
    <w:bookmarkEnd w:id="6"/>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7" w:name="PageNumWizard_FOOTER_Default_Page_Style2"/>
    <w:r>
      <w:rPr/>
      <w:fldChar w:fldCharType="begin"/>
    </w:r>
    <w:r>
      <w:rPr/>
      <w:instrText xml:space="preserve"> PAGE </w:instrText>
    </w:r>
    <w:r>
      <w:rPr/>
      <w:fldChar w:fldCharType="separate"/>
    </w:r>
    <w:r>
      <w:rPr/>
      <w:t>17</w:t>
    </w:r>
    <w:r>
      <w:rPr/>
      <w:fldChar w:fldCharType="end"/>
    </w:r>
    <w:bookmarkEnd w:id="7"/>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8" w:name="PageNumWizard_FOOTER_Default_Page_Style2"/>
    <w:r>
      <w:rPr/>
      <w:fldChar w:fldCharType="begin"/>
    </w:r>
    <w:r>
      <w:rPr/>
      <w:instrText xml:space="preserve"> PAGE </w:instrText>
    </w:r>
    <w:r>
      <w:rPr/>
      <w:fldChar w:fldCharType="separate"/>
    </w:r>
    <w:r>
      <w:rPr/>
      <w:t>17</w:t>
    </w:r>
    <w:r>
      <w:rPr/>
      <w:fldChar w:fldCharType="end"/>
    </w:r>
    <w:bookmarkEnd w:id="8"/>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International Journal of Life Cycle Assessment </w:t>
    </w:r>
    <w:r>
      <w:rPr>
        <w:rFonts w:eastAsia="C059" w:cs="C059" w:ascii="C059" w:hAnsi="C059"/>
      </w:rPr>
      <w:t xml:space="preserve"> </w:t>
    </w:r>
    <w:r>
      <w:rPr/>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International Journal of Life Cycle Assessment </w:t>
    </w:r>
    <w:r>
      <w:rPr>
        <w:rFonts w:eastAsia="C059" w:cs="C059" w:ascii="C059" w:hAnsi="C059"/>
      </w:rPr>
      <w:t xml:space="preserve"> </w:t>
    </w:r>
    <w:r>
      <w:rPr/>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Journal of Circular Economy </w:t>
    </w:r>
    <w:r>
      <w:rPr>
        <w:rFonts w:eastAsia="C059" w:cs="C059" w:ascii="C059" w:hAnsi="C059"/>
      </w:rPr>
      <w:t xml:space="preserve"> </w:t>
    </w:r>
    <w:r>
      <w:rPr/>
      <w:tab/>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Journal of Circular Economy </w:t>
    </w:r>
    <w:r>
      <w:rPr>
        <w:rFonts w:eastAsia="C059" w:cs="C059" w:ascii="C059" w:hAnsi="C059"/>
      </w:rPr>
      <w:t xml:space="preserve"> </w:t>
    </w:r>
    <w:r>
      <w:rPr/>
      <w:tab/>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numFmt w:val="decimal"/>
      <w:lvlText w:val="%1.%2.%3.%4"/>
      <w:lvlJc w:val="start"/>
      <w:pPr>
        <w:tabs>
          <w:tab w:val="num" w:pos="1800"/>
        </w:tabs>
        <w:ind w:start="1800" w:hanging="360"/>
      </w:pPr>
      <w:rPr/>
    </w:lvl>
    <w:lvl w:ilvl="4">
      <w:start w:val="1"/>
      <w:numFmt w:val="decimal"/>
      <w:lvlText w:val="%1.%2.%3.%4.%5"/>
      <w:lvlJc w:val="start"/>
      <w:pPr>
        <w:tabs>
          <w:tab w:val="num" w:pos="2160"/>
        </w:tabs>
        <w:ind w:start="2160" w:hanging="360"/>
      </w:pPr>
      <w:rPr/>
    </w:lvl>
    <w:lvl w:ilvl="5">
      <w:start w:val="1"/>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3">
    <w:lvl w:ilvl="0">
      <w:start w:val="1"/>
      <w:numFmt w:val="decimal"/>
      <w:lvlText w:val="S%1."/>
      <w:lvlJc w:val="start"/>
      <w:pPr>
        <w:tabs>
          <w:tab w:val="num" w:pos="0"/>
        </w:tabs>
        <w:ind w:start="548" w:hanging="237"/>
      </w:pPr>
      <w:rPr>
        <w:sz w:val="20"/>
        <w:spacing w:val="0"/>
        <w:i w:val="false"/>
        <w:b w:val="false"/>
        <w:szCs w:val="20"/>
        <w:iCs w:val="false"/>
        <w:bCs w:val="false"/>
        <w:w w:val="90"/>
        <w:rFonts w:ascii="Times New Roman" w:hAnsi="Times New Roman" w:eastAsia="Times New Roman" w:cs="Times New Roman"/>
        <w:lang w:val="en-US" w:eastAsia="en-US" w:bidi="ar-SA"/>
      </w:rPr>
    </w:lvl>
    <w:lvl w:ilvl="1">
      <w:start w:val="1"/>
      <w:numFmt w:val="bullet"/>
      <w:lvlText w:val=""/>
      <w:lvlJc w:val="start"/>
      <w:pPr>
        <w:tabs>
          <w:tab w:val="num" w:pos="0"/>
        </w:tabs>
        <w:ind w:start="997" w:hanging="237"/>
      </w:pPr>
      <w:rPr>
        <w:rFonts w:ascii="Symbol" w:hAnsi="Symbol" w:cs="Symbol" w:hint="default"/>
        <w:lang w:val="en-US" w:eastAsia="en-US" w:bidi="ar-SA"/>
      </w:rPr>
    </w:lvl>
    <w:lvl w:ilvl="2">
      <w:start w:val="1"/>
      <w:numFmt w:val="bullet"/>
      <w:lvlText w:val=""/>
      <w:lvlJc w:val="start"/>
      <w:pPr>
        <w:tabs>
          <w:tab w:val="num" w:pos="0"/>
        </w:tabs>
        <w:ind w:start="1455" w:hanging="237"/>
      </w:pPr>
      <w:rPr>
        <w:rFonts w:ascii="Symbol" w:hAnsi="Symbol" w:cs="Symbol" w:hint="default"/>
        <w:lang w:val="en-US" w:eastAsia="en-US" w:bidi="ar-SA"/>
      </w:rPr>
    </w:lvl>
    <w:lvl w:ilvl="3">
      <w:start w:val="1"/>
      <w:numFmt w:val="bullet"/>
      <w:lvlText w:val=""/>
      <w:lvlJc w:val="start"/>
      <w:pPr>
        <w:tabs>
          <w:tab w:val="num" w:pos="0"/>
        </w:tabs>
        <w:ind w:start="1912" w:hanging="237"/>
      </w:pPr>
      <w:rPr>
        <w:rFonts w:ascii="Symbol" w:hAnsi="Symbol" w:cs="Symbol" w:hint="default"/>
        <w:lang w:val="en-US" w:eastAsia="en-US" w:bidi="ar-SA"/>
      </w:rPr>
    </w:lvl>
    <w:lvl w:ilvl="4">
      <w:start w:val="1"/>
      <w:numFmt w:val="bullet"/>
      <w:lvlText w:val=""/>
      <w:lvlJc w:val="start"/>
      <w:pPr>
        <w:tabs>
          <w:tab w:val="num" w:pos="0"/>
        </w:tabs>
        <w:ind w:start="2370" w:hanging="237"/>
      </w:pPr>
      <w:rPr>
        <w:rFonts w:ascii="Symbol" w:hAnsi="Symbol" w:cs="Symbol" w:hint="default"/>
        <w:lang w:val="en-US" w:eastAsia="en-US" w:bidi="ar-SA"/>
      </w:rPr>
    </w:lvl>
    <w:lvl w:ilvl="5">
      <w:start w:val="1"/>
      <w:numFmt w:val="bullet"/>
      <w:lvlText w:val=""/>
      <w:lvlJc w:val="start"/>
      <w:pPr>
        <w:tabs>
          <w:tab w:val="num" w:pos="0"/>
        </w:tabs>
        <w:ind w:start="2827" w:hanging="237"/>
      </w:pPr>
      <w:rPr>
        <w:rFonts w:ascii="Symbol" w:hAnsi="Symbol" w:cs="Symbol" w:hint="default"/>
        <w:lang w:val="en-US" w:eastAsia="en-US" w:bidi="ar-SA"/>
      </w:rPr>
    </w:lvl>
    <w:lvl w:ilvl="6">
      <w:start w:val="1"/>
      <w:numFmt w:val="bullet"/>
      <w:lvlText w:val=""/>
      <w:lvlJc w:val="start"/>
      <w:pPr>
        <w:tabs>
          <w:tab w:val="num" w:pos="0"/>
        </w:tabs>
        <w:ind w:start="3285" w:hanging="237"/>
      </w:pPr>
      <w:rPr>
        <w:rFonts w:ascii="Symbol" w:hAnsi="Symbol" w:cs="Symbol" w:hint="default"/>
        <w:lang w:val="en-US" w:eastAsia="en-US" w:bidi="ar-SA"/>
      </w:rPr>
    </w:lvl>
    <w:lvl w:ilvl="7">
      <w:start w:val="1"/>
      <w:numFmt w:val="bullet"/>
      <w:lvlText w:val=""/>
      <w:lvlJc w:val="start"/>
      <w:pPr>
        <w:tabs>
          <w:tab w:val="num" w:pos="0"/>
        </w:tabs>
        <w:ind w:start="3742" w:hanging="237"/>
      </w:pPr>
      <w:rPr>
        <w:rFonts w:ascii="Symbol" w:hAnsi="Symbol" w:cs="Symbol" w:hint="default"/>
        <w:lang w:val="en-US" w:eastAsia="en-US" w:bidi="ar-SA"/>
      </w:rPr>
    </w:lvl>
    <w:lvl w:ilvl="8">
      <w:start w:val="1"/>
      <w:numFmt w:val="bullet"/>
      <w:lvlText w:val=""/>
      <w:lvlJc w:val="start"/>
      <w:pPr>
        <w:tabs>
          <w:tab w:val="num" w:pos="0"/>
        </w:tabs>
        <w:ind w:start="4200" w:hanging="237"/>
      </w:pPr>
      <w:rPr>
        <w:rFonts w:ascii="Symbol" w:hAnsi="Symbol" w:cs="Symbol" w:hint="default"/>
        <w:lang w:val="en-US" w:eastAsia="en-US" w:bidi="ar-SA"/>
      </w:rPr>
    </w:lvl>
  </w:abstractNum>
  <w:abstractNum w:abstractNumId="4">
    <w:lvl w:ilvl="0">
      <w:start w:val="1"/>
      <w:numFmt w:val="decimal"/>
      <w:suff w:val="space"/>
      <w:lvlText w:val="S%1."/>
      <w:lvlJc w:val="start"/>
      <w:pPr>
        <w:tabs>
          <w:tab w:val="num" w:pos="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5"/>
  <w:embedTrueTypeFonts/>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en-GB"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start"/>
    </w:pPr>
    <w:rPr>
      <w:rFonts w:ascii="Times New Roman" w:hAnsi="Times New Roman" w:eastAsia="Times New Roman" w:cs="Times New Roman"/>
      <w:color w:val="auto"/>
      <w:kern w:val="0"/>
      <w:sz w:val="22"/>
      <w:szCs w:val="22"/>
      <w:lang w:val="en-GB" w:eastAsia="en-US" w:bidi="ar-SA"/>
    </w:rPr>
  </w:style>
  <w:style w:type="paragraph" w:styleId="Heading1">
    <w:name w:val="heading 1"/>
    <w:basedOn w:val="Normal"/>
    <w:next w:val="BodyText"/>
    <w:qFormat/>
    <w:pPr>
      <w:pageBreakBefore/>
      <w:numPr>
        <w:ilvl w:val="0"/>
        <w:numId w:val="2"/>
      </w:numPr>
      <w:tabs>
        <w:tab w:val="clear" w:pos="720"/>
      </w:tabs>
      <w:spacing w:before="240" w:after="120"/>
      <w:jc w:val="both"/>
      <w:outlineLvl w:val="0"/>
    </w:pPr>
    <w:rPr>
      <w:b/>
      <w:bCs/>
      <w:sz w:val="28"/>
      <w:szCs w:val="24"/>
    </w:rPr>
  </w:style>
  <w:style w:type="paragraph" w:styleId="Heading2">
    <w:name w:val="heading 2"/>
    <w:basedOn w:val="Heading1"/>
    <w:qFormat/>
    <w:pPr>
      <w:pageBreakBefore w:val="false"/>
      <w:numPr>
        <w:ilvl w:val="0"/>
        <w:numId w:val="2"/>
      </w:numPr>
      <w:spacing w:before="82" w:after="120"/>
      <w:jc w:val="both"/>
      <w:outlineLvl w:val="1"/>
    </w:pPr>
    <w:rPr>
      <w:b/>
      <w:bCs/>
      <w:sz w:val="24"/>
    </w:rPr>
  </w:style>
  <w:style w:type="paragraph" w:styleId="Heading3">
    <w:name w:val="heading 3"/>
    <w:basedOn w:val="Normal"/>
    <w:qFormat/>
    <w:pPr>
      <w:widowControl w:val="false"/>
      <w:numPr>
        <w:ilvl w:val="2"/>
        <w:numId w:val="2"/>
      </w:numPr>
      <w:tabs>
        <w:tab w:val="clear" w:pos="720"/>
      </w:tabs>
      <w:bidi w:val="0"/>
      <w:spacing w:before="0" w:after="0"/>
      <w:ind w:hanging="324" w:start="302"/>
      <w:jc w:val="both"/>
      <w:outlineLvl w:val="2"/>
    </w:pPr>
    <w:rPr>
      <w:rFonts w:ascii="Times New Roman" w:hAnsi="Times New Roman" w:eastAsia="Times New Roman" w:cs="Times New Roman"/>
      <w:b/>
      <w:bCs/>
      <w:i/>
      <w:iCs/>
      <w:sz w:val="21"/>
      <w:szCs w:val="21"/>
    </w:rPr>
  </w:style>
  <w:style w:type="paragraph" w:styleId="Heading4">
    <w:name w:val="heading 4"/>
    <w:basedOn w:val="Heading"/>
    <w:next w:val="BodyText"/>
    <w:qFormat/>
    <w:pPr>
      <w:numPr>
        <w:ilvl w:val="0"/>
        <w:numId w:val="0"/>
      </w:numPr>
      <w:spacing w:before="120" w:after="120"/>
      <w:ind w:hanging="0" w:start="720"/>
      <w:outlineLvl w:val="3"/>
    </w:pPr>
    <w:rPr>
      <w:rFonts w:ascii="Times New Roman" w:hAnsi="Times New Roman" w:eastAsia="DejaVu Sans" w:cs="Noto Sans Arabic"/>
      <w:b/>
      <w:bCs/>
      <w:sz w:val="20"/>
      <w:szCs w:val="24"/>
      <w:lang w:val="en-GB"/>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styleId="DefaultParagraphFont">
    <w:name w:val="Default Paragraph Font"/>
    <w:qFormat/>
    <w:rPr/>
  </w:style>
  <w:style w:type="character" w:styleId="HeaderChar">
    <w:name w:val="Header Char"/>
    <w:basedOn w:val="DefaultParagraphFont"/>
    <w:link w:val="Header"/>
    <w:qFormat/>
    <w:rPr>
      <w:rFonts w:ascii="Times New Roman" w:hAnsi="Times New Roman" w:eastAsia="Times New Roman" w:cs="Times New Roman"/>
    </w:rPr>
  </w:style>
  <w:style w:type="character" w:styleId="FooterChar">
    <w:name w:val="Footer Char"/>
    <w:basedOn w:val="DefaultParagraphFont"/>
    <w:link w:val="Footer"/>
    <w:qFormat/>
    <w:rPr>
      <w:rFonts w:ascii="Times New Roman" w:hAnsi="Times New Roman" w:eastAsia="Times New Roman" w:cs="Times New Roman"/>
    </w:rPr>
  </w:style>
  <w:style w:type="character" w:styleId="Hyperlink">
    <w:name w:val="Hyperlink"/>
    <w:rPr>
      <w:color w:val="000080"/>
      <w:u w:val="single"/>
    </w:rPr>
  </w:style>
  <w:style w:type="character" w:styleId="LineNumber">
    <w:name w:val="line number"/>
    <w:rPr>
      <w:rFonts w:ascii="Courier New" w:hAnsi="Courier New"/>
      <w:color w:val="auto"/>
      <w:sz w:val="12"/>
    </w:rPr>
  </w:style>
  <w:style w:type="character" w:styleId="NumberingSymbols">
    <w:name w:val="Numbering Symbols"/>
    <w:qFormat/>
    <w:rPr/>
  </w:style>
  <w:style w:type="character" w:styleId="Strong">
    <w:name w:val="Strong"/>
    <w:qFormat/>
    <w:rPr>
      <w:b/>
      <w:bCs/>
    </w:rPr>
  </w:style>
  <w:style w:type="character" w:styleId="Bulletsuser">
    <w:name w:val="Bullets (user)"/>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character" w:styleId="PageNumber">
    <w:name w:val="page number"/>
    <w:rPr/>
  </w:style>
  <w:style w:type="paragraph" w:styleId="Heading">
    <w:name w:val="Heading"/>
    <w:basedOn w:val="Normal"/>
    <w:next w:val="BodyText"/>
    <w:qFormat/>
    <w:pPr>
      <w:keepNext w:val="true"/>
      <w:spacing w:before="240" w:after="120"/>
    </w:pPr>
    <w:rPr>
      <w:rFonts w:ascii="Times New Roman" w:hAnsi="Times New Roman" w:eastAsia="Noto Sans CJK SC" w:cs="Noto Sans Devanagari"/>
      <w:b/>
      <w:sz w:val="22"/>
      <w:szCs w:val="28"/>
    </w:rPr>
  </w:style>
  <w:style w:type="paragraph" w:styleId="BodyText">
    <w:name w:val="Body Text"/>
    <w:basedOn w:val="Normal"/>
    <w:pPr>
      <w:spacing w:lineRule="auto" w:line="360" w:before="0" w:after="120"/>
      <w:jc w:val="both"/>
    </w:pPr>
    <w:rPr>
      <w:sz w:val="20"/>
      <w:szCs w:val="20"/>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0"/>
      <w:szCs w:val="24"/>
    </w:rPr>
  </w:style>
  <w:style w:type="paragraph" w:styleId="Index">
    <w:name w:val="Index"/>
    <w:basedOn w:val="Normal"/>
    <w:qFormat/>
    <w:pPr>
      <w:suppressLineNumbers/>
    </w:pPr>
    <w:rPr>
      <w:rFonts w:cs="Noto Sans Devanagari"/>
    </w:rPr>
  </w:style>
  <w:style w:type="paragraph" w:styleId="ListParagraph">
    <w:name w:val="List Paragraph"/>
    <w:basedOn w:val="Normal"/>
    <w:qFormat/>
    <w:pPr>
      <w:ind w:hanging="235" w:start="530"/>
    </w:pPr>
    <w:rPr/>
  </w:style>
  <w:style w:type="paragraph" w:styleId="TableParagraph">
    <w:name w:val="Table Paragraph"/>
    <w:basedOn w:val="Normal"/>
    <w:qFormat/>
    <w:pPr>
      <w:spacing w:lineRule="exact" w:line="183" w:before="16" w:after="0"/>
      <w:ind w:start="119"/>
    </w:pPr>
    <w:rPr>
      <w:rFonts w:ascii="Arial" w:hAnsi="Arial" w:eastAsia="Arial" w:cs="Arial"/>
    </w:rPr>
  </w:style>
  <w:style w:type="paragraph" w:styleId="HeaderandFooter">
    <w:name w:val="Header and Footer"/>
    <w:basedOn w:val="Normal"/>
    <w:qFormat/>
    <w:pPr/>
    <w:rPr/>
  </w:style>
  <w:style w:type="paragraph" w:styleId="Header">
    <w:name w:val="header"/>
    <w:basedOn w:val="Normal"/>
    <w:link w:val="HeaderChar"/>
    <w:pPr>
      <w:suppressLineNumbers/>
      <w:pBdr>
        <w:bottom w:val="single" w:sz="2" w:space="1" w:color="000000"/>
      </w:pBdr>
      <w:tabs>
        <w:tab w:val="clear" w:pos="720"/>
        <w:tab w:val="center" w:pos="4513" w:leader="none"/>
        <w:tab w:val="right" w:pos="9026" w:leader="none"/>
      </w:tabs>
      <w:spacing w:before="0" w:after="0"/>
    </w:pPr>
    <w:rPr>
      <w:sz w:val="20"/>
    </w:rPr>
  </w:style>
  <w:style w:type="paragraph" w:styleId="Footer">
    <w:name w:val="footer"/>
    <w:basedOn w:val="Normal"/>
    <w:link w:val="FooterChar"/>
    <w:pPr>
      <w:suppressLineNumbers/>
      <w:tabs>
        <w:tab w:val="clear" w:pos="720"/>
        <w:tab w:val="center" w:pos="4513" w:leader="none"/>
        <w:tab w:val="right" w:pos="9026" w:leader="none"/>
      </w:tabs>
    </w:pPr>
    <w:rPr>
      <w:sz w:val="20"/>
    </w:rPr>
  </w:style>
  <w:style w:type="paragraph" w:styleId="Revision">
    <w:name w:val="Revision"/>
    <w:qFormat/>
    <w:pPr>
      <w:widowControl/>
      <w:suppressAutoHyphens w:val="true"/>
      <w:overflowPunct w:val="false"/>
      <w:bidi w:val="0"/>
      <w:spacing w:before="0" w:after="0"/>
      <w:jc w:val="start"/>
    </w:pPr>
    <w:rPr>
      <w:rFonts w:ascii="Times New Roman" w:hAnsi="Times New Roman" w:eastAsia="Times New Roman" w:cs="Times New Roman"/>
      <w:color w:val="auto"/>
      <w:kern w:val="0"/>
      <w:sz w:val="22"/>
      <w:szCs w:val="22"/>
      <w:lang w:val="en-GB" w:eastAsia="en-US" w:bidi="ar-SA"/>
    </w:rPr>
  </w:style>
  <w:style w:type="paragraph" w:styleId="FrameContentsuser">
    <w:name w:val="Frame Contents (user)"/>
    <w:basedOn w:val="Normal"/>
    <w:qFormat/>
    <w:pPr/>
    <w:rPr/>
  </w:style>
  <w:style w:type="paragraph" w:styleId="Figure">
    <w:name w:val="Figure"/>
    <w:basedOn w:val="Caption"/>
    <w:qFormat/>
    <w:pPr/>
    <w:rPr>
      <w:sz w:val="20"/>
    </w:rPr>
  </w:style>
  <w:style w:type="paragraph" w:styleId="TableContents">
    <w:name w:val="Table Contents"/>
    <w:basedOn w:val="Normal"/>
    <w:qFormat/>
    <w:pPr>
      <w:widowControl w:val="false"/>
      <w:suppressLineNumbers/>
      <w:suppressAutoHyphens w:val="false"/>
      <w:spacing w:lineRule="auto" w:line="240" w:before="29" w:after="29"/>
    </w:pPr>
    <w:rPr/>
  </w:style>
  <w:style w:type="paragraph" w:styleId="Comment">
    <w:name w:val="Comment"/>
    <w:basedOn w:val="Normal"/>
    <w:qFormat/>
    <w:pPr/>
    <w:rPr>
      <w:sz w:val="20"/>
      <w:szCs w:val="20"/>
    </w:rPr>
  </w:style>
  <w:style w:type="paragraph" w:styleId="Bibliography1">
    <w:name w:val="Bibliography 1"/>
    <w:basedOn w:val="Index"/>
    <w:qFormat/>
    <w:pPr>
      <w:tabs>
        <w:tab w:val="clear" w:pos="720"/>
      </w:tabs>
      <w:spacing w:lineRule="auto" w:line="240" w:before="144" w:after="0"/>
      <w:ind w:hanging="346" w:start="346"/>
    </w:pPr>
    <w:rPr>
      <w:sz w:val="20"/>
    </w:rPr>
  </w:style>
  <w:style w:type="paragraph" w:styleId="TableHeading">
    <w:name w:val="Table Heading"/>
    <w:basedOn w:val="TableContents"/>
    <w:qFormat/>
    <w:pPr>
      <w:suppressLineNumbers/>
      <w:jc w:val="center"/>
    </w:pPr>
    <w:rPr>
      <w:b/>
      <w:bCs/>
    </w:rPr>
  </w:style>
  <w:style w:type="paragraph" w:styleId="TableHeader">
    <w:name w:val="Table Header"/>
    <w:basedOn w:val="TableContents"/>
    <w:qFormat/>
    <w:pPr/>
    <w:rPr>
      <w:b/>
    </w:rPr>
  </w:style>
  <w:style w:type="paragraph" w:styleId="Table">
    <w:name w:val="Table"/>
    <w:basedOn w:val="Caption"/>
    <w:qFormat/>
    <w:pPr/>
    <w:rPr>
      <w:sz w:val="20"/>
    </w:rPr>
  </w:style>
  <w:style w:type="paragraph" w:styleId="ListContents">
    <w:name w:val="List Contents"/>
    <w:basedOn w:val="Normal"/>
    <w:qFormat/>
    <w:pPr>
      <w:tabs>
        <w:tab w:val="clear" w:pos="720"/>
      </w:tabs>
      <w:ind w:start="567"/>
    </w:pPr>
    <w:rPr>
      <w:sz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ListNumber5">
    <w:name w:val="List Number 5"/>
    <w:basedOn w:val="List"/>
    <w:pPr>
      <w:spacing w:before="0" w:after="120"/>
      <w:ind w:hanging="360" w:start="1800"/>
    </w:pPr>
    <w:rPr>
      <w:rFonts w:ascii="mono" w:hAnsi="mono"/>
      <w:sz w:val="16"/>
    </w:rPr>
  </w:style>
  <w:style w:type="paragraph" w:styleId="ListBullet5">
    <w:name w:val="List Bullet 5"/>
    <w:basedOn w:val="List"/>
    <w:pPr>
      <w:spacing w:before="0" w:after="120"/>
      <w:ind w:hanging="360" w:start="1800"/>
    </w:pPr>
    <w:rPr/>
  </w:style>
  <w:style w:type="paragraph" w:styleId="ListBullet4">
    <w:name w:val="List Bullet 4"/>
    <w:basedOn w:val="List"/>
    <w:pPr>
      <w:spacing w:before="0" w:after="120"/>
      <w:ind w:hanging="360" w:start="1440"/>
    </w:pPr>
    <w:rPr>
      <w:rFonts w:ascii="Liberation Mono" w:hAnsi="Liberation Mono"/>
      <w:color w:val="FFFFFF"/>
      <w:sz w:val="16"/>
      <w14:textFill>
        <w14:solidFill>
          <w14:srgbClr w14:val="FFFFFF">
            <w14:alpha w14:val="25000"/>
          </w14:srgbClr>
        </w14:solidFill>
      </w14:textFill>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tew-McD/T-reX_LCA-MacroStudy" TargetMode="External"/><Relationship Id="rId3" Type="http://schemas.openxmlformats.org/officeDocument/2006/relationships/hyperlink" Target="https://futuram.eu/" TargetMode="External"/><Relationship Id="rId4" Type="http://schemas.openxmlformats.org/officeDocument/2006/relationships/hyperlink" Target="http://creativecommons.org/licenses/by/4.0/"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1528</TotalTime>
  <Application>LibreOffice/25.2.5.2$Linux_X86_64 LibreOffice_project/520$Build-2</Application>
  <AppVersion>15.0000</AppVersion>
  <Pages>17</Pages>
  <Words>2325</Words>
  <Characters>14681</Characters>
  <CharactersWithSpaces>16879</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2025-08-05T16:03:57Z</dcterms:created>
  <dc:creator/>
  <dc:description/>
  <cp:keywords>Circular Economy Scenario Development Storyline Narratives Backcasting and Forecasting Waste and Resource Management Secondary Raw Materials Critical Raw Materials European Union Sustainability</cp:keywords>
  <dc:language>en-GB</dc:language>
  <cp:lastModifiedBy/>
  <cp:lastPrinted>2025-08-18T11:43:14Z</cp:lastPrinted>
  <dcterms:modified xsi:type="dcterms:W3CDTF">2025-09-03T18:48:03Z</dcterms:modified>
  <cp:revision>99</cp:revision>
  <dc:subject/>
  <dc:title>From Rubbish to Resource: Waste-Stream-Specific Scenario Narratives for the Future of Secondary Raw Material Recovery in the EU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2025-08-05T00:00:00Z</vt:filetime>
  </property>
  <property fmtid="{D5CDD505-2E9C-101B-9397-08002B2CF9AE}" pid="3" name="Creator">
    <vt:lpwstr>Stewart Charles McDowall</vt:lpwstr>
  </property>
  <property fmtid="{D5CDD505-2E9C-101B-9397-08002B2CF9AE}" pid="4" name="Email">
    <vt:lpwstr>s.c.mcdowall@cml.leidenuniv.nl</vt:lpwstr>
  </property>
  <property fmtid="{D5CDD505-2E9C-101B-9397-08002B2CF9AE}" pid="5" name="Language">
    <vt:lpwstr>English (UK)</vt:lpwstr>
  </property>
  <property fmtid="{D5CDD505-2E9C-101B-9397-08002B2CF9AE}" pid="6" name="URL">
    <vt:lpwstr>https://github.com/Stew-McD/scenario-development</vt:lpwstr>
  </property>
  <property fmtid="{D5CDD505-2E9C-101B-9397-08002B2CF9AE}" pid="7" name="ZOTERO_PREF_1">
    <vt:lpwstr>&lt;data data-version="3" zotero-version="7.0.24"&gt;&lt;session id="9JDEK47p"/&gt;&lt;style id="http://www.zotero.org/styles/apa" locale="en-GB" hasBibliography="1" bibliographyStyleHasBeenSet="1"/&gt;&lt;prefs&gt;&lt;pref name="fieldType" value="ReferenceMark"/&gt;&lt;pref name="automa</vt:lpwstr>
  </property>
  <property fmtid="{D5CDD505-2E9C-101B-9397-08002B2CF9AE}" pid="8" name="ZOTERO_PREF_2">
    <vt:lpwstr>ticJournalAbbreviations" value="true"/&gt;&lt;/prefs&gt;&lt;/data&gt;</vt:lpwstr>
  </property>
</Properties>
</file>