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before="0"/>
        <w:ind w:left="160"/>
      </w:pPr>
      <w:r>
        <w:rPr/>
        <w:t>Request</w:t>
      </w:r>
      <w:r>
        <w:rPr>
          <w:spacing w:val="-7"/>
        </w:rPr>
        <w:t> </w:t>
      </w:r>
      <w:r>
        <w:rPr/>
        <w:t>for</w:t>
      </w:r>
      <w:r>
        <w:rPr>
          <w:spacing w:val="-6"/>
        </w:rPr>
        <w:t> </w:t>
      </w:r>
      <w:r>
        <w:rPr/>
        <w:t>Comments:</w:t>
      </w:r>
      <w:r>
        <w:rPr>
          <w:spacing w:val="-6"/>
        </w:rPr>
        <w:t> </w:t>
      </w:r>
      <w:r>
        <w:rPr>
          <w:spacing w:val="-4"/>
        </w:rPr>
        <w:t>4526</w:t>
      </w:r>
      <w:r>
        <w:rPr/>
        <w:tab/>
        <w:t>OpenLDAP</w:t>
      </w:r>
      <w:r>
        <w:rPr>
          <w:spacing w:val="-8"/>
        </w:rPr>
        <w:t> </w:t>
      </w:r>
      <w:r>
        <w:rPr>
          <w:spacing w:val="-2"/>
        </w:rPr>
        <w:t>Foundation</w:t>
      </w:r>
    </w:p>
    <w:p>
      <w:pPr>
        <w:pStyle w:val="BodyText"/>
        <w:tabs>
          <w:tab w:pos="7719" w:val="left" w:leader="none"/>
        </w:tabs>
        <w:spacing w:line="223" w:lineRule="exact" w:before="0"/>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before="0"/>
        <w:ind w:left="2560" w:right="982" w:hanging="720"/>
      </w:pPr>
      <w:r>
        <w:rPr/>
        <w:t>Lightweight</w:t>
      </w:r>
      <w:r>
        <w:rPr>
          <w:spacing w:val="-11"/>
        </w:rPr>
        <w:t> </w:t>
      </w:r>
      <w:r>
        <w:rPr/>
        <w:t>Directory</w:t>
      </w:r>
      <w:r>
        <w:rPr>
          <w:spacing w:val="-11"/>
        </w:rPr>
        <w:t> </w:t>
      </w:r>
      <w:r>
        <w:rPr/>
        <w:t>Access</w:t>
      </w:r>
      <w:r>
        <w:rPr>
          <w:spacing w:val="-11"/>
        </w:rPr>
        <w:t> </w:t>
      </w:r>
      <w:r>
        <w:rPr/>
        <w:t>Protocol</w:t>
      </w:r>
      <w:r>
        <w:rPr>
          <w:spacing w:val="-11"/>
        </w:rPr>
        <w:t> </w:t>
      </w:r>
      <w:r>
        <w:rPr/>
        <w:t>(LDAP) Absolute True and False Filters</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263"/>
      </w:pPr>
      <w:r>
        <w:rPr/>
        <w:t>This document extends the Lightweight Directory Access Protocol (LDAP)</w:t>
      </w:r>
      <w:r>
        <w:rPr>
          <w:spacing w:val="-5"/>
        </w:rPr>
        <w:t> </w:t>
      </w:r>
      <w:r>
        <w:rPr/>
        <w:t>to</w:t>
      </w:r>
      <w:r>
        <w:rPr>
          <w:spacing w:val="-5"/>
        </w:rPr>
        <w:t> </w:t>
      </w:r>
      <w:r>
        <w:rPr/>
        <w:t>support</w:t>
      </w:r>
      <w:r>
        <w:rPr>
          <w:spacing w:val="-5"/>
        </w:rPr>
        <w:t> </w:t>
      </w:r>
      <w:r>
        <w:rPr/>
        <w:t>absolute</w:t>
      </w:r>
      <w:r>
        <w:rPr>
          <w:spacing w:val="-5"/>
        </w:rPr>
        <w:t> </w:t>
      </w:r>
      <w:r>
        <w:rPr/>
        <w:t>True</w:t>
      </w:r>
      <w:r>
        <w:rPr>
          <w:spacing w:val="-5"/>
        </w:rPr>
        <w:t> </w:t>
      </w:r>
      <w:r>
        <w:rPr/>
        <w:t>and</w:t>
      </w:r>
      <w:r>
        <w:rPr>
          <w:spacing w:val="-5"/>
        </w:rPr>
        <w:t> </w:t>
      </w:r>
      <w:r>
        <w:rPr/>
        <w:t>False</w:t>
      </w:r>
      <w:r>
        <w:rPr>
          <w:spacing w:val="-5"/>
        </w:rPr>
        <w:t> </w:t>
      </w:r>
      <w:r>
        <w:rPr/>
        <w:t>filters</w:t>
      </w:r>
      <w:r>
        <w:rPr>
          <w:spacing w:val="-5"/>
        </w:rPr>
        <w:t> </w:t>
      </w:r>
      <w:r>
        <w:rPr/>
        <w:t>based</w:t>
      </w:r>
      <w:r>
        <w:rPr>
          <w:spacing w:val="-5"/>
        </w:rPr>
        <w:t> </w:t>
      </w:r>
      <w:r>
        <w:rPr/>
        <w:t>upon</w:t>
      </w:r>
      <w:r>
        <w:rPr>
          <w:spacing w:val="-5"/>
        </w:rPr>
        <w:t> </w:t>
      </w:r>
      <w:r>
        <w:rPr/>
        <w:t>similar capabilities found in X.500 directory systems.</w:t>
      </w:r>
      <w:r>
        <w:rPr>
          <w:spacing w:val="80"/>
        </w:rPr>
        <w:t> </w:t>
      </w:r>
      <w:r>
        <w:rPr/>
        <w:t>The document also extends the String Representation of LDAP Search Filters to support these filters.</w:t>
      </w:r>
    </w:p>
    <w:p>
      <w:pPr>
        <w:pStyle w:val="BodyText"/>
        <w:spacing w:before="217"/>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Background</w:t>
      </w:r>
      <w:r>
        <w:rPr>
          <w:sz w:val="20"/>
        </w:rPr>
        <w:tab/>
      </w:r>
      <w:r>
        <w:rPr>
          <w:spacing w:val="-10"/>
          <w:sz w:val="20"/>
        </w:rPr>
        <w:t>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Absolute</w:t>
      </w:r>
      <w:r>
        <w:rPr>
          <w:spacing w:val="-5"/>
          <w:sz w:val="20"/>
        </w:rPr>
        <w:t> </w:t>
      </w:r>
      <w:r>
        <w:rPr>
          <w:sz w:val="20"/>
        </w:rPr>
        <w:t>True</w:t>
      </w:r>
      <w:r>
        <w:rPr>
          <w:spacing w:val="-5"/>
          <w:sz w:val="20"/>
        </w:rPr>
        <w:t> </w:t>
      </w:r>
      <w:r>
        <w:rPr>
          <w:sz w:val="20"/>
        </w:rPr>
        <w:t>and</w:t>
      </w:r>
      <w:r>
        <w:rPr>
          <w:spacing w:val="-5"/>
          <w:sz w:val="20"/>
        </w:rPr>
        <w:t> </w:t>
      </w:r>
      <w:r>
        <w:rPr>
          <w:sz w:val="20"/>
        </w:rPr>
        <w:t>False</w:t>
      </w:r>
      <w:r>
        <w:rPr>
          <w:spacing w:val="-5"/>
          <w:sz w:val="20"/>
        </w:rPr>
        <w:t> </w:t>
      </w:r>
      <w:r>
        <w:rPr>
          <w:spacing w:val="-2"/>
          <w:sz w:val="20"/>
        </w:rPr>
        <w:t>Filters</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3</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3</w:t>
      </w:r>
    </w:p>
    <w:p>
      <w:pPr>
        <w:pStyle w:val="ListParagraph"/>
        <w:numPr>
          <w:ilvl w:val="0"/>
          <w:numId w:val="2"/>
        </w:numPr>
        <w:tabs>
          <w:tab w:pos="638" w:val="left" w:leader="none"/>
        </w:tabs>
        <w:spacing w:line="240" w:lineRule="auto" w:before="214" w:after="0"/>
        <w:ind w:left="638" w:right="0" w:hanging="478"/>
        <w:jc w:val="left"/>
        <w:rPr>
          <w:sz w:val="20"/>
        </w:rPr>
      </w:pPr>
      <w:r>
        <w:rPr>
          <w:spacing w:val="-2"/>
          <w:sz w:val="20"/>
        </w:rPr>
        <w:t>Background</w:t>
      </w:r>
    </w:p>
    <w:p>
      <w:pPr>
        <w:pStyle w:val="BodyText"/>
        <w:spacing w:line="232" w:lineRule="auto" w:before="218"/>
        <w:ind w:right="199"/>
      </w:pPr>
      <w:r>
        <w:rPr/>
        <w:t>The X.500 Directory Access Protocol (DAP) [X.511] supports absolute True</w:t>
      </w:r>
      <w:r>
        <w:rPr>
          <w:spacing w:val="-4"/>
        </w:rPr>
        <w:t> </w:t>
      </w:r>
      <w:r>
        <w:rPr/>
        <w:t>and</w:t>
      </w:r>
      <w:r>
        <w:rPr>
          <w:spacing w:val="-4"/>
        </w:rPr>
        <w:t> </w:t>
      </w:r>
      <w:r>
        <w:rPr/>
        <w:t>False</w:t>
      </w:r>
      <w:r>
        <w:rPr>
          <w:spacing w:val="-4"/>
        </w:rPr>
        <w:t> </w:t>
      </w:r>
      <w:r>
        <w:rPr/>
        <w:t>assertions.</w:t>
      </w:r>
      <w:r>
        <w:rPr>
          <w:spacing w:val="80"/>
        </w:rPr>
        <w:t> </w:t>
      </w:r>
      <w:r>
        <w:rPr/>
        <w:t>An</w:t>
      </w:r>
      <w:r>
        <w:rPr>
          <w:spacing w:val="-4"/>
        </w:rPr>
        <w:t> </w:t>
      </w:r>
      <w:r>
        <w:rPr/>
        <w:t>’and’</w:t>
      </w:r>
      <w:r>
        <w:rPr>
          <w:spacing w:val="-4"/>
        </w:rPr>
        <w:t> </w:t>
      </w:r>
      <w:r>
        <w:rPr/>
        <w:t>filter</w:t>
      </w:r>
      <w:r>
        <w:rPr>
          <w:spacing w:val="-4"/>
        </w:rPr>
        <w:t> </w:t>
      </w:r>
      <w:r>
        <w:rPr/>
        <w:t>with</w:t>
      </w:r>
      <w:r>
        <w:rPr>
          <w:spacing w:val="-4"/>
        </w:rPr>
        <w:t> </w:t>
      </w:r>
      <w:r>
        <w:rPr/>
        <w:t>zero</w:t>
      </w:r>
      <w:r>
        <w:rPr>
          <w:spacing w:val="-4"/>
        </w:rPr>
        <w:t> </w:t>
      </w:r>
      <w:r>
        <w:rPr/>
        <w:t>elements</w:t>
      </w:r>
      <w:r>
        <w:rPr>
          <w:spacing w:val="-4"/>
        </w:rPr>
        <w:t> </w:t>
      </w:r>
      <w:r>
        <w:rPr/>
        <w:t>always evaluates to True.</w:t>
      </w:r>
      <w:r>
        <w:rPr>
          <w:spacing w:val="80"/>
          <w:w w:val="150"/>
        </w:rPr>
        <w:t> </w:t>
      </w:r>
      <w:r>
        <w:rPr/>
        <w:t>An ’or’ filter with zero elements always evaluates to False.</w:t>
      </w:r>
      <w:r>
        <w:rPr>
          <w:spacing w:val="80"/>
        </w:rPr>
        <w:t> </w:t>
      </w:r>
      <w:r>
        <w:rPr/>
        <w:t>These filters are commonly used when requesting DSA-specific Entries (DSEs) that do not necessarily have ’objectClass’ attributes; that is, where "(objectClass=*)" may evaluate to False.</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199"/>
      </w:pPr>
      <w:r>
        <w:rPr/>
        <w:t>Although LDAPv2 [RFC1777][RFC3494] placed no restriction on the number of elements in ’and’ and ’or’ filter sets, the LDAPv2 string representation</w:t>
      </w:r>
      <w:r>
        <w:rPr>
          <w:spacing w:val="-6"/>
        </w:rPr>
        <w:t> </w:t>
      </w:r>
      <w:r>
        <w:rPr/>
        <w:t>[RFC1960][RFC3494]</w:t>
      </w:r>
      <w:r>
        <w:rPr>
          <w:spacing w:val="-6"/>
        </w:rPr>
        <w:t> </w:t>
      </w:r>
      <w:r>
        <w:rPr/>
        <w:t>could</w:t>
      </w:r>
      <w:r>
        <w:rPr>
          <w:spacing w:val="-6"/>
        </w:rPr>
        <w:t> </w:t>
      </w:r>
      <w:r>
        <w:rPr/>
        <w:t>not</w:t>
      </w:r>
      <w:r>
        <w:rPr>
          <w:spacing w:val="-6"/>
        </w:rPr>
        <w:t> </w:t>
      </w:r>
      <w:r>
        <w:rPr/>
        <w:t>represent</w:t>
      </w:r>
      <w:r>
        <w:rPr>
          <w:spacing w:val="-6"/>
        </w:rPr>
        <w:t> </w:t>
      </w:r>
      <w:r>
        <w:rPr/>
        <w:t>empty</w:t>
      </w:r>
      <w:r>
        <w:rPr>
          <w:spacing w:val="-6"/>
        </w:rPr>
        <w:t> </w:t>
      </w:r>
      <w:r>
        <w:rPr/>
        <w:t>’and’</w:t>
      </w:r>
      <w:r>
        <w:rPr>
          <w:spacing w:val="-6"/>
        </w:rPr>
        <w:t> </w:t>
      </w:r>
      <w:r>
        <w:rPr/>
        <w:t>and ’or’ filter sets.</w:t>
      </w:r>
      <w:r>
        <w:rPr>
          <w:spacing w:val="80"/>
        </w:rPr>
        <w:t> </w:t>
      </w:r>
      <w:r>
        <w:rPr/>
        <w:t>Due to this, absolute True or False filters were (unfortunately) eliminated from LDAPv3 [RFC4510].</w:t>
      </w:r>
    </w:p>
    <w:p>
      <w:pPr>
        <w:pStyle w:val="BodyText"/>
        <w:spacing w:line="232" w:lineRule="auto"/>
        <w:ind w:right="263"/>
      </w:pPr>
      <w:r>
        <w:rPr/>
        <w:t>This documents extends LDAPv3 to support absolute True and False assertions by allowing empty ’and’ and ’or’ in Search filters [RFC4511]</w:t>
      </w:r>
      <w:r>
        <w:rPr>
          <w:spacing w:val="-6"/>
        </w:rPr>
        <w:t> </w:t>
      </w:r>
      <w:r>
        <w:rPr/>
        <w:t>and</w:t>
      </w:r>
      <w:r>
        <w:rPr>
          <w:spacing w:val="-6"/>
        </w:rPr>
        <w:t> </w:t>
      </w:r>
      <w:r>
        <w:rPr/>
        <w:t>extends</w:t>
      </w:r>
      <w:r>
        <w:rPr>
          <w:spacing w:val="-6"/>
        </w:rPr>
        <w:t> </w:t>
      </w:r>
      <w:r>
        <w:rPr/>
        <w:t>the</w:t>
      </w:r>
      <w:r>
        <w:rPr>
          <w:spacing w:val="-6"/>
        </w:rPr>
        <w:t> </w:t>
      </w:r>
      <w:r>
        <w:rPr/>
        <w:t>filter</w:t>
      </w:r>
      <w:r>
        <w:rPr>
          <w:spacing w:val="-6"/>
        </w:rPr>
        <w:t> </w:t>
      </w:r>
      <w:r>
        <w:rPr/>
        <w:t>string</w:t>
      </w:r>
      <w:r>
        <w:rPr>
          <w:spacing w:val="-6"/>
        </w:rPr>
        <w:t> </w:t>
      </w:r>
      <w:r>
        <w:rPr/>
        <w:t>representation</w:t>
      </w:r>
      <w:r>
        <w:rPr>
          <w:spacing w:val="-6"/>
        </w:rPr>
        <w:t> </w:t>
      </w:r>
      <w:r>
        <w:rPr/>
        <w:t>[RFC4515]</w:t>
      </w:r>
      <w:r>
        <w:rPr>
          <w:spacing w:val="-6"/>
        </w:rPr>
        <w:t> </w:t>
      </w:r>
      <w:r>
        <w:rPr/>
        <w:t>to allow empty filter lists.</w:t>
      </w:r>
    </w:p>
    <w:p>
      <w:pPr>
        <w:pStyle w:val="BodyText"/>
        <w:spacing w:line="232" w:lineRule="auto"/>
      </w:pPr>
      <w:r>
        <w:rPr/>
        <w:t>It is noted that certain search operations, such as those used to retrieve</w:t>
      </w:r>
      <w:r>
        <w:rPr>
          <w:spacing w:val="-6"/>
        </w:rPr>
        <w:t> </w:t>
      </w:r>
      <w:r>
        <w:rPr/>
        <w:t>subschema</w:t>
      </w:r>
      <w:r>
        <w:rPr>
          <w:spacing w:val="-6"/>
        </w:rPr>
        <w:t> </w:t>
      </w:r>
      <w:r>
        <w:rPr/>
        <w:t>information</w:t>
      </w:r>
      <w:r>
        <w:rPr>
          <w:spacing w:val="-6"/>
        </w:rPr>
        <w:t> </w:t>
      </w:r>
      <w:r>
        <w:rPr/>
        <w:t>[RFC4512],</w:t>
      </w:r>
      <w:r>
        <w:rPr>
          <w:spacing w:val="-6"/>
        </w:rPr>
        <w:t> </w:t>
      </w:r>
      <w:r>
        <w:rPr/>
        <w:t>require</w:t>
      </w:r>
      <w:r>
        <w:rPr>
          <w:spacing w:val="-6"/>
        </w:rPr>
        <w:t> </w:t>
      </w:r>
      <w:r>
        <w:rPr/>
        <w:t>use</w:t>
      </w:r>
      <w:r>
        <w:rPr>
          <w:spacing w:val="-6"/>
        </w:rPr>
        <w:t> </w:t>
      </w:r>
      <w:r>
        <w:rPr/>
        <w:t>of</w:t>
      </w:r>
      <w:r>
        <w:rPr>
          <w:spacing w:val="-6"/>
        </w:rPr>
        <w:t> </w:t>
      </w:r>
      <w:r>
        <w:rPr/>
        <w:t>particular filters.</w:t>
      </w:r>
      <w:r>
        <w:rPr>
          <w:spacing w:val="80"/>
        </w:rPr>
        <w:t> </w:t>
      </w:r>
      <w:r>
        <w:rPr/>
        <w:t>This document does not change these requirements.</w:t>
      </w:r>
    </w:p>
    <w:p>
      <w:pPr>
        <w:pStyle w:val="BodyText"/>
        <w:spacing w:line="232" w:lineRule="auto"/>
        <w:ind w:right="263"/>
      </w:pPr>
      <w:r>
        <w:rPr/>
        <w:t>This</w:t>
      </w:r>
      <w:r>
        <w:rPr>
          <w:spacing w:val="-4"/>
        </w:rPr>
        <w:t> </w:t>
      </w:r>
      <w:r>
        <w:rPr/>
        <w:t>feature</w:t>
      </w:r>
      <w:r>
        <w:rPr>
          <w:spacing w:val="-4"/>
        </w:rPr>
        <w:t> </w:t>
      </w:r>
      <w:r>
        <w:rPr/>
        <w:t>is</w:t>
      </w:r>
      <w:r>
        <w:rPr>
          <w:spacing w:val="-4"/>
        </w:rPr>
        <w:t> </w:t>
      </w:r>
      <w:r>
        <w:rPr/>
        <w:t>intended</w:t>
      </w:r>
      <w:r>
        <w:rPr>
          <w:spacing w:val="-4"/>
        </w:rPr>
        <w:t> </w:t>
      </w:r>
      <w:r>
        <w:rPr/>
        <w:t>to</w:t>
      </w:r>
      <w:r>
        <w:rPr>
          <w:spacing w:val="-4"/>
        </w:rPr>
        <w:t> </w:t>
      </w:r>
      <w:r>
        <w:rPr/>
        <w:t>allow</w:t>
      </w:r>
      <w:r>
        <w:rPr>
          <w:spacing w:val="-4"/>
        </w:rPr>
        <w:t> </w:t>
      </w:r>
      <w:r>
        <w:rPr/>
        <w:t>a</w:t>
      </w:r>
      <w:r>
        <w:rPr>
          <w:spacing w:val="-4"/>
        </w:rPr>
        <w:t> </w:t>
      </w:r>
      <w:r>
        <w:rPr/>
        <w:t>more</w:t>
      </w:r>
      <w:r>
        <w:rPr>
          <w:spacing w:val="-4"/>
        </w:rPr>
        <w:t> </w:t>
      </w:r>
      <w:r>
        <w:rPr/>
        <w:t>direct</w:t>
      </w:r>
      <w:r>
        <w:rPr>
          <w:spacing w:val="-4"/>
        </w:rPr>
        <w:t> </w:t>
      </w:r>
      <w:r>
        <w:rPr/>
        <w:t>mapping</w:t>
      </w:r>
      <w:r>
        <w:rPr>
          <w:spacing w:val="-4"/>
        </w:rPr>
        <w:t> </w:t>
      </w:r>
      <w:r>
        <w:rPr/>
        <w:t>between</w:t>
      </w:r>
      <w:r>
        <w:rPr>
          <w:spacing w:val="-4"/>
        </w:rPr>
        <w:t> </w:t>
      </w:r>
      <w:r>
        <w:rPr/>
        <w:t>DAP and LDAP (as needed to implement DAP-to-LDAP gateways).</w:t>
      </w:r>
    </w:p>
    <w:p>
      <w:pPr>
        <w:pStyle w:val="BodyText"/>
        <w:spacing w:line="232" w:lineRule="auto" w:before="220"/>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before="0"/>
        <w:ind w:right="982"/>
      </w:pPr>
      <w:r>
        <w:rPr/>
        <w:t>and</w:t>
      </w:r>
      <w:r>
        <w:rPr>
          <w:spacing w:val="-5"/>
        </w:rPr>
        <w:t> </w:t>
      </w:r>
      <w:r>
        <w:rPr/>
        <w:t>"OPTIONAL"</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BCP</w:t>
      </w:r>
      <w:r>
        <w:rPr>
          <w:spacing w:val="-5"/>
        </w:rPr>
        <w:t> </w:t>
      </w:r>
      <w:r>
        <w:rPr/>
        <w:t>14 </w:t>
      </w:r>
      <w:r>
        <w:rPr>
          <w:spacing w:val="-2"/>
        </w:rPr>
        <w:t>[RFC2119].</w:t>
      </w:r>
    </w:p>
    <w:p>
      <w:pPr>
        <w:pStyle w:val="ListParagraph"/>
        <w:numPr>
          <w:ilvl w:val="0"/>
          <w:numId w:val="2"/>
        </w:numPr>
        <w:tabs>
          <w:tab w:pos="638" w:val="left" w:leader="none"/>
        </w:tabs>
        <w:spacing w:line="240" w:lineRule="auto" w:before="216" w:after="0"/>
        <w:ind w:left="638" w:right="0" w:hanging="478"/>
        <w:jc w:val="left"/>
        <w:rPr>
          <w:sz w:val="20"/>
        </w:rPr>
      </w:pPr>
      <w:r>
        <w:rPr>
          <w:sz w:val="20"/>
        </w:rPr>
        <w:t>Absolute</w:t>
      </w:r>
      <w:r>
        <w:rPr>
          <w:spacing w:val="-5"/>
          <w:sz w:val="20"/>
        </w:rPr>
        <w:t> </w:t>
      </w:r>
      <w:r>
        <w:rPr>
          <w:sz w:val="20"/>
        </w:rPr>
        <w:t>True</w:t>
      </w:r>
      <w:r>
        <w:rPr>
          <w:spacing w:val="-5"/>
          <w:sz w:val="20"/>
        </w:rPr>
        <w:t> </w:t>
      </w:r>
      <w:r>
        <w:rPr>
          <w:sz w:val="20"/>
        </w:rPr>
        <w:t>and</w:t>
      </w:r>
      <w:r>
        <w:rPr>
          <w:spacing w:val="-5"/>
          <w:sz w:val="20"/>
        </w:rPr>
        <w:t> </w:t>
      </w:r>
      <w:r>
        <w:rPr>
          <w:sz w:val="20"/>
        </w:rPr>
        <w:t>False</w:t>
      </w:r>
      <w:r>
        <w:rPr>
          <w:spacing w:val="-5"/>
          <w:sz w:val="20"/>
        </w:rPr>
        <w:t> </w:t>
      </w:r>
      <w:r>
        <w:rPr>
          <w:spacing w:val="-2"/>
          <w:sz w:val="20"/>
        </w:rPr>
        <w:t>Filters</w:t>
      </w:r>
    </w:p>
    <w:p>
      <w:pPr>
        <w:pStyle w:val="BodyText"/>
        <w:spacing w:line="232" w:lineRule="auto" w:before="218"/>
      </w:pPr>
      <w:r>
        <w:rPr/>
        <w:t>Implementations</w:t>
      </w:r>
      <w:r>
        <w:rPr>
          <w:spacing w:val="-5"/>
        </w:rPr>
        <w:t> </w:t>
      </w:r>
      <w:r>
        <w:rPr/>
        <w:t>of</w:t>
      </w:r>
      <w:r>
        <w:rPr>
          <w:spacing w:val="-5"/>
        </w:rPr>
        <w:t> </w:t>
      </w:r>
      <w:r>
        <w:rPr/>
        <w:t>this</w:t>
      </w:r>
      <w:r>
        <w:rPr>
          <w:spacing w:val="-5"/>
        </w:rPr>
        <w:t> </w:t>
      </w:r>
      <w:r>
        <w:rPr/>
        <w:t>extension</w:t>
      </w:r>
      <w:r>
        <w:rPr>
          <w:spacing w:val="-5"/>
        </w:rPr>
        <w:t> </w:t>
      </w:r>
      <w:r>
        <w:rPr/>
        <w:t>SHALL</w:t>
      </w:r>
      <w:r>
        <w:rPr>
          <w:spacing w:val="-5"/>
        </w:rPr>
        <w:t> </w:t>
      </w:r>
      <w:r>
        <w:rPr/>
        <w:t>allow</w:t>
      </w:r>
      <w:r>
        <w:rPr>
          <w:spacing w:val="-5"/>
        </w:rPr>
        <w:t> </w:t>
      </w:r>
      <w:r>
        <w:rPr/>
        <w:t>’and’</w:t>
      </w:r>
      <w:r>
        <w:rPr>
          <w:spacing w:val="-5"/>
        </w:rPr>
        <w:t> </w:t>
      </w:r>
      <w:r>
        <w:rPr/>
        <w:t>and</w:t>
      </w:r>
      <w:r>
        <w:rPr>
          <w:spacing w:val="-5"/>
        </w:rPr>
        <w:t> </w:t>
      </w:r>
      <w:r>
        <w:rPr/>
        <w:t>’or’</w:t>
      </w:r>
      <w:r>
        <w:rPr>
          <w:spacing w:val="-5"/>
        </w:rPr>
        <w:t> </w:t>
      </w:r>
      <w:r>
        <w:rPr/>
        <w:t>choices with zero filter elements.</w:t>
      </w:r>
    </w:p>
    <w:p>
      <w:pPr>
        <w:pStyle w:val="BodyText"/>
        <w:spacing w:line="232" w:lineRule="auto"/>
        <w:ind w:right="263"/>
      </w:pPr>
      <w:r>
        <w:rPr/>
        <w:t>An</w:t>
      </w:r>
      <w:r>
        <w:rPr>
          <w:spacing w:val="-4"/>
        </w:rPr>
        <w:t> </w:t>
      </w:r>
      <w:r>
        <w:rPr/>
        <w:t>’and’</w:t>
      </w:r>
      <w:r>
        <w:rPr>
          <w:spacing w:val="-4"/>
        </w:rPr>
        <w:t> </w:t>
      </w:r>
      <w:r>
        <w:rPr/>
        <w:t>filter</w:t>
      </w:r>
      <w:r>
        <w:rPr>
          <w:spacing w:val="-4"/>
        </w:rPr>
        <w:t> </w:t>
      </w:r>
      <w:r>
        <w:rPr/>
        <w:t>consisting</w:t>
      </w:r>
      <w:r>
        <w:rPr>
          <w:spacing w:val="-4"/>
        </w:rPr>
        <w:t> </w:t>
      </w:r>
      <w:r>
        <w:rPr/>
        <w:t>of</w:t>
      </w:r>
      <w:r>
        <w:rPr>
          <w:spacing w:val="-4"/>
        </w:rPr>
        <w:t> </w:t>
      </w:r>
      <w:r>
        <w:rPr/>
        <w:t>an</w:t>
      </w:r>
      <w:r>
        <w:rPr>
          <w:spacing w:val="-4"/>
        </w:rPr>
        <w:t> </w:t>
      </w:r>
      <w:r>
        <w:rPr/>
        <w:t>empty</w:t>
      </w:r>
      <w:r>
        <w:rPr>
          <w:spacing w:val="-4"/>
        </w:rPr>
        <w:t> </w:t>
      </w:r>
      <w:r>
        <w:rPr/>
        <w:t>set</w:t>
      </w:r>
      <w:r>
        <w:rPr>
          <w:spacing w:val="-4"/>
        </w:rPr>
        <w:t> </w:t>
      </w:r>
      <w:r>
        <w:rPr/>
        <w:t>of</w:t>
      </w:r>
      <w:r>
        <w:rPr>
          <w:spacing w:val="-4"/>
        </w:rPr>
        <w:t> </w:t>
      </w:r>
      <w:r>
        <w:rPr/>
        <w:t>filters</w:t>
      </w:r>
      <w:r>
        <w:rPr>
          <w:spacing w:val="-4"/>
        </w:rPr>
        <w:t> </w:t>
      </w:r>
      <w:r>
        <w:rPr/>
        <w:t>SHALL</w:t>
      </w:r>
      <w:r>
        <w:rPr>
          <w:spacing w:val="-4"/>
        </w:rPr>
        <w:t> </w:t>
      </w:r>
      <w:r>
        <w:rPr/>
        <w:t>evaluate to True.</w:t>
      </w:r>
      <w:r>
        <w:rPr>
          <w:spacing w:val="80"/>
        </w:rPr>
        <w:t> </w:t>
      </w:r>
      <w:r>
        <w:rPr/>
        <w:t>This filter is represented by the string "(&amp;)".</w:t>
      </w:r>
    </w:p>
    <w:p>
      <w:pPr>
        <w:pStyle w:val="BodyText"/>
        <w:spacing w:line="232" w:lineRule="auto" w:before="220"/>
        <w:ind w:right="263"/>
      </w:pPr>
      <w:r>
        <w:rPr/>
        <w:t>An</w:t>
      </w:r>
      <w:r>
        <w:rPr>
          <w:spacing w:val="-4"/>
        </w:rPr>
        <w:t> </w:t>
      </w:r>
      <w:r>
        <w:rPr/>
        <w:t>’or’</w:t>
      </w:r>
      <w:r>
        <w:rPr>
          <w:spacing w:val="-4"/>
        </w:rPr>
        <w:t> </w:t>
      </w:r>
      <w:r>
        <w:rPr/>
        <w:t>filter</w:t>
      </w:r>
      <w:r>
        <w:rPr>
          <w:spacing w:val="-4"/>
        </w:rPr>
        <w:t> </w:t>
      </w:r>
      <w:r>
        <w:rPr/>
        <w:t>consisting</w:t>
      </w:r>
      <w:r>
        <w:rPr>
          <w:spacing w:val="-4"/>
        </w:rPr>
        <w:t> </w:t>
      </w:r>
      <w:r>
        <w:rPr/>
        <w:t>of</w:t>
      </w:r>
      <w:r>
        <w:rPr>
          <w:spacing w:val="-4"/>
        </w:rPr>
        <w:t> </w:t>
      </w:r>
      <w:r>
        <w:rPr/>
        <w:t>an</w:t>
      </w:r>
      <w:r>
        <w:rPr>
          <w:spacing w:val="-4"/>
        </w:rPr>
        <w:t> </w:t>
      </w:r>
      <w:r>
        <w:rPr/>
        <w:t>empty</w:t>
      </w:r>
      <w:r>
        <w:rPr>
          <w:spacing w:val="-4"/>
        </w:rPr>
        <w:t> </w:t>
      </w:r>
      <w:r>
        <w:rPr/>
        <w:t>set</w:t>
      </w:r>
      <w:r>
        <w:rPr>
          <w:spacing w:val="-4"/>
        </w:rPr>
        <w:t> </w:t>
      </w:r>
      <w:r>
        <w:rPr/>
        <w:t>of</w:t>
      </w:r>
      <w:r>
        <w:rPr>
          <w:spacing w:val="-4"/>
        </w:rPr>
        <w:t> </w:t>
      </w:r>
      <w:r>
        <w:rPr/>
        <w:t>filters</w:t>
      </w:r>
      <w:r>
        <w:rPr>
          <w:spacing w:val="-4"/>
        </w:rPr>
        <w:t> </w:t>
      </w:r>
      <w:r>
        <w:rPr/>
        <w:t>SHALL</w:t>
      </w:r>
      <w:r>
        <w:rPr>
          <w:spacing w:val="-4"/>
        </w:rPr>
        <w:t> </w:t>
      </w:r>
      <w:r>
        <w:rPr/>
        <w:t>evaluate to False.</w:t>
      </w:r>
      <w:r>
        <w:rPr>
          <w:spacing w:val="80"/>
        </w:rPr>
        <w:t> </w:t>
      </w:r>
      <w:r>
        <w:rPr/>
        <w:t>This filter is represented by the string "(|)".</w:t>
      </w:r>
    </w:p>
    <w:p>
      <w:pPr>
        <w:pStyle w:val="BodyText"/>
        <w:spacing w:line="232" w:lineRule="auto"/>
        <w:ind w:right="263"/>
      </w:pPr>
      <w:r>
        <w:rPr/>
        <w:t>Servers</w:t>
      </w:r>
      <w:r>
        <w:rPr>
          <w:spacing w:val="-6"/>
        </w:rPr>
        <w:t> </w:t>
      </w:r>
      <w:r>
        <w:rPr/>
        <w:t>supporting</w:t>
      </w:r>
      <w:r>
        <w:rPr>
          <w:spacing w:val="-6"/>
        </w:rPr>
        <w:t> </w:t>
      </w:r>
      <w:r>
        <w:rPr/>
        <w:t>this</w:t>
      </w:r>
      <w:r>
        <w:rPr>
          <w:spacing w:val="-6"/>
        </w:rPr>
        <w:t> </w:t>
      </w:r>
      <w:r>
        <w:rPr/>
        <w:t>feature</w:t>
      </w:r>
      <w:r>
        <w:rPr>
          <w:spacing w:val="-6"/>
        </w:rPr>
        <w:t> </w:t>
      </w:r>
      <w:r>
        <w:rPr/>
        <w:t>SHOULD</w:t>
      </w:r>
      <w:r>
        <w:rPr>
          <w:spacing w:val="-6"/>
        </w:rPr>
        <w:t> </w:t>
      </w:r>
      <w:r>
        <w:rPr/>
        <w:t>publish</w:t>
      </w:r>
      <w:r>
        <w:rPr>
          <w:spacing w:val="-6"/>
        </w:rPr>
        <w:t> </w:t>
      </w:r>
      <w:r>
        <w:rPr/>
        <w:t>the</w:t>
      </w:r>
      <w:r>
        <w:rPr>
          <w:spacing w:val="-6"/>
        </w:rPr>
        <w:t> </w:t>
      </w:r>
      <w:r>
        <w:rPr/>
        <w:t>Object</w:t>
      </w:r>
      <w:r>
        <w:rPr>
          <w:spacing w:val="-6"/>
        </w:rPr>
        <w:t> </w:t>
      </w:r>
      <w:r>
        <w:rPr/>
        <w:t>Identifier 1.3.6.1.4.1.4203.1.5.3 as a value of the ’supportedFeatures’ [RFC4512] attribute in the root DSE.</w:t>
      </w:r>
    </w:p>
    <w:p>
      <w:pPr>
        <w:pStyle w:val="BodyText"/>
        <w:spacing w:line="232" w:lineRule="auto" w:before="220"/>
        <w:ind w:right="263"/>
      </w:pPr>
      <w:r>
        <w:rPr/>
        <w:t>Clients</w:t>
      </w:r>
      <w:r>
        <w:rPr>
          <w:spacing w:val="-5"/>
        </w:rPr>
        <w:t> </w:t>
      </w:r>
      <w:r>
        <w:rPr/>
        <w:t>supporting</w:t>
      </w:r>
      <w:r>
        <w:rPr>
          <w:spacing w:val="-5"/>
        </w:rPr>
        <w:t> </w:t>
      </w:r>
      <w:r>
        <w:rPr/>
        <w:t>this</w:t>
      </w:r>
      <w:r>
        <w:rPr>
          <w:spacing w:val="-5"/>
        </w:rPr>
        <w:t> </w:t>
      </w:r>
      <w:r>
        <w:rPr/>
        <w:t>feature</w:t>
      </w:r>
      <w:r>
        <w:rPr>
          <w:spacing w:val="-5"/>
        </w:rPr>
        <w:t> </w:t>
      </w:r>
      <w:r>
        <w:rPr/>
        <w:t>SHOULD</w:t>
      </w:r>
      <w:r>
        <w:rPr>
          <w:spacing w:val="-5"/>
        </w:rPr>
        <w:t> </w:t>
      </w:r>
      <w:r>
        <w:rPr/>
        <w:t>NOT</w:t>
      </w:r>
      <w:r>
        <w:rPr>
          <w:spacing w:val="-5"/>
        </w:rPr>
        <w:t> </w:t>
      </w:r>
      <w:r>
        <w:rPr/>
        <w:t>use</w:t>
      </w:r>
      <w:r>
        <w:rPr>
          <w:spacing w:val="-5"/>
        </w:rPr>
        <w:t> </w:t>
      </w:r>
      <w:r>
        <w:rPr/>
        <w:t>the</w:t>
      </w:r>
      <w:r>
        <w:rPr>
          <w:spacing w:val="-5"/>
        </w:rPr>
        <w:t> </w:t>
      </w:r>
      <w:r>
        <w:rPr/>
        <w:t>feature</w:t>
      </w:r>
      <w:r>
        <w:rPr>
          <w:spacing w:val="-5"/>
        </w:rPr>
        <w:t> </w:t>
      </w:r>
      <w:r>
        <w:rPr/>
        <w:t>unless they know that the server supports it.</w:t>
      </w:r>
    </w:p>
    <w:p>
      <w:pPr>
        <w:pStyle w:val="ListParagraph"/>
        <w:numPr>
          <w:ilvl w:val="0"/>
          <w:numId w:val="2"/>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982"/>
      </w:pPr>
      <w:r>
        <w:rPr/>
        <w:t>The</w:t>
      </w:r>
      <w:r>
        <w:rPr>
          <w:spacing w:val="-5"/>
        </w:rPr>
        <w:t> </w:t>
      </w:r>
      <w:r>
        <w:rPr/>
        <w:t>(re)introduction</w:t>
      </w:r>
      <w:r>
        <w:rPr>
          <w:spacing w:val="-5"/>
        </w:rPr>
        <w:t> </w:t>
      </w:r>
      <w:r>
        <w:rPr/>
        <w:t>of</w:t>
      </w:r>
      <w:r>
        <w:rPr>
          <w:spacing w:val="-5"/>
        </w:rPr>
        <w:t> </w:t>
      </w:r>
      <w:r>
        <w:rPr/>
        <w:t>absolute</w:t>
      </w:r>
      <w:r>
        <w:rPr>
          <w:spacing w:val="-5"/>
        </w:rPr>
        <w:t> </w:t>
      </w:r>
      <w:r>
        <w:rPr/>
        <w:t>True</w:t>
      </w:r>
      <w:r>
        <w:rPr>
          <w:spacing w:val="-5"/>
        </w:rPr>
        <w:t> </w:t>
      </w:r>
      <w:r>
        <w:rPr/>
        <w:t>and</w:t>
      </w:r>
      <w:r>
        <w:rPr>
          <w:spacing w:val="-5"/>
        </w:rPr>
        <w:t> </w:t>
      </w:r>
      <w:r>
        <w:rPr/>
        <w:t>False</w:t>
      </w:r>
      <w:r>
        <w:rPr>
          <w:spacing w:val="-5"/>
        </w:rPr>
        <w:t> </w:t>
      </w:r>
      <w:r>
        <w:rPr/>
        <w:t>filters</w:t>
      </w:r>
      <w:r>
        <w:rPr>
          <w:spacing w:val="-5"/>
        </w:rPr>
        <w:t> </w:t>
      </w:r>
      <w:r>
        <w:rPr/>
        <w:t>is</w:t>
      </w:r>
      <w:r>
        <w:rPr>
          <w:spacing w:val="-5"/>
        </w:rPr>
        <w:t> </w:t>
      </w:r>
      <w:r>
        <w:rPr/>
        <w:t>not believed to raise any new security considerations.</w:t>
      </w:r>
    </w:p>
    <w:p>
      <w:pPr>
        <w:pStyle w:val="BodyText"/>
        <w:spacing w:line="232" w:lineRule="auto"/>
        <w:ind w:right="263"/>
      </w:pPr>
      <w:r>
        <w:rPr/>
        <w:t>Implementors</w:t>
      </w:r>
      <w:r>
        <w:rPr>
          <w:spacing w:val="-5"/>
        </w:rPr>
        <w:t> </w:t>
      </w:r>
      <w:r>
        <w:rPr/>
        <w:t>of</w:t>
      </w:r>
      <w:r>
        <w:rPr>
          <w:spacing w:val="-5"/>
        </w:rPr>
        <w:t> </w:t>
      </w:r>
      <w:r>
        <w:rPr/>
        <w:t>this</w:t>
      </w:r>
      <w:r>
        <w:rPr>
          <w:spacing w:val="-5"/>
        </w:rPr>
        <w:t> </w:t>
      </w:r>
      <w:r>
        <w:rPr/>
        <w:t>(or</w:t>
      </w:r>
      <w:r>
        <w:rPr>
          <w:spacing w:val="-5"/>
        </w:rPr>
        <w:t> </w:t>
      </w:r>
      <w:r>
        <w:rPr/>
        <w:t>any)</w:t>
      </w:r>
      <w:r>
        <w:rPr>
          <w:spacing w:val="-5"/>
        </w:rPr>
        <w:t> </w:t>
      </w:r>
      <w:r>
        <w:rPr/>
        <w:t>LDAPv3</w:t>
      </w:r>
      <w:r>
        <w:rPr>
          <w:spacing w:val="-5"/>
        </w:rPr>
        <w:t> </w:t>
      </w:r>
      <w:r>
        <w:rPr/>
        <w:t>extension</w:t>
      </w:r>
      <w:r>
        <w:rPr>
          <w:spacing w:val="-5"/>
        </w:rPr>
        <w:t> </w:t>
      </w:r>
      <w:r>
        <w:rPr/>
        <w:t>should</w:t>
      </w:r>
      <w:r>
        <w:rPr>
          <w:spacing w:val="-5"/>
        </w:rPr>
        <w:t> </w:t>
      </w:r>
      <w:r>
        <w:rPr/>
        <w:t>be</w:t>
      </w:r>
      <w:r>
        <w:rPr>
          <w:spacing w:val="-5"/>
        </w:rPr>
        <w:t> </w:t>
      </w:r>
      <w:r>
        <w:rPr/>
        <w:t>familiar with general LDAPv3 security considerations [RFC4510].</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2"/>
        </w:numPr>
        <w:tabs>
          <w:tab w:pos="638" w:val="left" w:leader="none"/>
        </w:tabs>
        <w:spacing w:line="240" w:lineRule="auto" w:before="90"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ind w:right="982"/>
      </w:pPr>
      <w:r>
        <w:rPr/>
        <w:t>Registration</w:t>
      </w:r>
      <w:r>
        <w:rPr>
          <w:spacing w:val="-5"/>
        </w:rPr>
        <w:t> </w:t>
      </w:r>
      <w:r>
        <w:rPr/>
        <w:t>of</w:t>
      </w:r>
      <w:r>
        <w:rPr>
          <w:spacing w:val="-5"/>
        </w:rPr>
        <w:t> </w:t>
      </w:r>
      <w:r>
        <w:rPr/>
        <w:t>this</w:t>
      </w:r>
      <w:r>
        <w:rPr>
          <w:spacing w:val="-5"/>
        </w:rPr>
        <w:t> </w:t>
      </w:r>
      <w:r>
        <w:rPr/>
        <w:t>feature</w:t>
      </w:r>
      <w:r>
        <w:rPr>
          <w:spacing w:val="-5"/>
        </w:rPr>
        <w:t> </w:t>
      </w:r>
      <w:r>
        <w:rPr/>
        <w:t>has</w:t>
      </w:r>
      <w:r>
        <w:rPr>
          <w:spacing w:val="-5"/>
        </w:rPr>
        <w:t> </w:t>
      </w:r>
      <w:r>
        <w:rPr/>
        <w:t>been</w:t>
      </w:r>
      <w:r>
        <w:rPr>
          <w:spacing w:val="-5"/>
        </w:rPr>
        <w:t> </w:t>
      </w:r>
      <w:r>
        <w:rPr/>
        <w:t>completed</w:t>
      </w:r>
      <w:r>
        <w:rPr>
          <w:spacing w:val="-5"/>
        </w:rPr>
        <w:t> </w:t>
      </w:r>
      <w:r>
        <w:rPr/>
        <w:t>by</w:t>
      </w:r>
      <w:r>
        <w:rPr>
          <w:spacing w:val="-5"/>
        </w:rPr>
        <w:t> </w:t>
      </w:r>
      <w:r>
        <w:rPr/>
        <w:t>the</w:t>
      </w:r>
      <w:r>
        <w:rPr>
          <w:spacing w:val="-5"/>
        </w:rPr>
        <w:t> </w:t>
      </w:r>
      <w:r>
        <w:rPr/>
        <w:t>IANA </w:t>
      </w:r>
      <w:r>
        <w:rPr>
          <w:spacing w:val="-2"/>
        </w:rPr>
        <w:t>[RFC4520].</w:t>
      </w:r>
    </w:p>
    <w:p>
      <w:pPr>
        <w:pStyle w:val="BodyText"/>
        <w:spacing w:line="232" w:lineRule="auto"/>
      </w:pPr>
      <w:r>
        <w:rPr/>
        <w:t>Subject: Request for LDAP Protocol Mechanism Registration Object Identifier:</w:t>
      </w:r>
      <w:r>
        <w:rPr>
          <w:spacing w:val="-11"/>
        </w:rPr>
        <w:t> </w:t>
      </w:r>
      <w:r>
        <w:rPr/>
        <w:t>1.3.6.1.4.1.4203.1.5.3</w:t>
      </w:r>
      <w:r>
        <w:rPr>
          <w:spacing w:val="-11"/>
        </w:rPr>
        <w:t> </w:t>
      </w:r>
      <w:r>
        <w:rPr/>
        <w:t>Description:</w:t>
      </w:r>
      <w:r>
        <w:rPr>
          <w:spacing w:val="-11"/>
        </w:rPr>
        <w:t> </w:t>
      </w:r>
      <w:r>
        <w:rPr/>
        <w:t>True/False</w:t>
      </w:r>
      <w:r>
        <w:rPr>
          <w:spacing w:val="-11"/>
        </w:rPr>
        <w:t> </w:t>
      </w:r>
      <w:r>
        <w:rPr/>
        <w:t>filters Person &amp; email address to contact for further information:</w:t>
      </w:r>
    </w:p>
    <w:p>
      <w:pPr>
        <w:pStyle w:val="BodyText"/>
        <w:spacing w:line="232" w:lineRule="auto" w:before="0"/>
        <w:ind w:right="263" w:firstLine="600"/>
      </w:pPr>
      <w:r>
        <w:rPr/>
        <w:t>Kurt</w:t>
      </w:r>
      <w:r>
        <w:rPr>
          <w:spacing w:val="-9"/>
        </w:rPr>
        <w:t> </w:t>
      </w:r>
      <w:r>
        <w:rPr/>
        <w:t>Zeilenga</w:t>
      </w:r>
      <w:r>
        <w:rPr>
          <w:spacing w:val="-9"/>
        </w:rPr>
        <w:t> </w:t>
      </w:r>
      <w:r>
        <w:rPr/>
        <w:t>&lt;</w:t>
      </w:r>
      <w:hyperlink r:id="rId8">
        <w:r>
          <w:rPr/>
          <w:t>kurt@openldap.org</w:t>
        </w:r>
      </w:hyperlink>
      <w:r>
        <w:rPr/>
        <w:t>&gt;</w:t>
      </w:r>
      <w:r>
        <w:rPr>
          <w:spacing w:val="-9"/>
        </w:rPr>
        <w:t> </w:t>
      </w:r>
      <w:r>
        <w:rPr/>
        <w:t>Usage:</w:t>
      </w:r>
      <w:r>
        <w:rPr>
          <w:spacing w:val="-9"/>
        </w:rPr>
        <w:t> </w:t>
      </w:r>
      <w:r>
        <w:rPr/>
        <w:t>Feature</w:t>
      </w:r>
      <w:r>
        <w:rPr>
          <w:spacing w:val="-9"/>
        </w:rPr>
        <w:t> </w:t>
      </w:r>
      <w:r>
        <w:rPr/>
        <w:t>Specification: RFC 4526 Author/Change Controller: IESG Comments: none</w:t>
      </w:r>
    </w:p>
    <w:p>
      <w:pPr>
        <w:pStyle w:val="BodyText"/>
        <w:spacing w:line="232" w:lineRule="auto"/>
        <w:ind w:right="679"/>
      </w:pPr>
      <w:r>
        <w:rPr/>
        <w:t>This OID was assigned [ASSIGN] by OpenLDAP Foundation, under its IANA-assigned</w:t>
      </w:r>
      <w:r>
        <w:rPr>
          <w:spacing w:val="-6"/>
        </w:rPr>
        <w:t> </w:t>
      </w:r>
      <w:r>
        <w:rPr/>
        <w:t>private</w:t>
      </w:r>
      <w:r>
        <w:rPr>
          <w:spacing w:val="-6"/>
        </w:rPr>
        <w:t> </w:t>
      </w:r>
      <w:r>
        <w:rPr/>
        <w:t>enterprise</w:t>
      </w:r>
      <w:r>
        <w:rPr>
          <w:spacing w:val="-6"/>
        </w:rPr>
        <w:t> </w:t>
      </w:r>
      <w:r>
        <w:rPr/>
        <w:t>allocation</w:t>
      </w:r>
      <w:r>
        <w:rPr>
          <w:spacing w:val="-6"/>
        </w:rPr>
        <w:t> </w:t>
      </w:r>
      <w:r>
        <w:rPr/>
        <w:t>[PRIVATE],</w:t>
      </w:r>
      <w:r>
        <w:rPr>
          <w:spacing w:val="-6"/>
        </w:rPr>
        <w:t> </w:t>
      </w:r>
      <w:r>
        <w:rPr/>
        <w:t>for</w:t>
      </w:r>
      <w:r>
        <w:rPr>
          <w:spacing w:val="-6"/>
        </w:rPr>
        <w:t> </w:t>
      </w:r>
      <w:r>
        <w:rPr/>
        <w:t>use</w:t>
      </w:r>
      <w:r>
        <w:rPr>
          <w:spacing w:val="-6"/>
        </w:rPr>
        <w:t> </w:t>
      </w:r>
      <w:r>
        <w:rPr/>
        <w:t>in this specification.</w:t>
      </w:r>
    </w:p>
    <w:p>
      <w:pPr>
        <w:pStyle w:val="ListParagraph"/>
        <w:numPr>
          <w:ilvl w:val="0"/>
          <w:numId w:val="2"/>
        </w:numPr>
        <w:tabs>
          <w:tab w:pos="638" w:val="left" w:leader="none"/>
        </w:tabs>
        <w:spacing w:line="240" w:lineRule="auto" w:before="215"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4"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ind w:left="2200" w:right="199" w:hanging="1680"/>
      </w:pPr>
      <w:r>
        <w:rPr>
          <w:spacing w:val="-2"/>
        </w:rPr>
        <w:t>[RFC4515]</w:t>
      </w:r>
      <w:r>
        <w:rPr/>
        <w:tab/>
        <w:t>Smith, M., Ed. and T. Howes, "Lightweight Directory Access</w:t>
      </w:r>
      <w:r>
        <w:rPr>
          <w:spacing w:val="-7"/>
        </w:rPr>
        <w:t> </w:t>
      </w:r>
      <w:r>
        <w:rPr/>
        <w:t>Protocol</w:t>
      </w:r>
      <w:r>
        <w:rPr>
          <w:spacing w:val="-7"/>
        </w:rPr>
        <w:t> </w:t>
      </w:r>
      <w:r>
        <w:rPr/>
        <w:t>(LDAP):</w:t>
      </w:r>
      <w:r>
        <w:rPr>
          <w:spacing w:val="-7"/>
        </w:rPr>
        <w:t> </w:t>
      </w:r>
      <w:r>
        <w:rPr/>
        <w:t>String</w:t>
      </w:r>
      <w:r>
        <w:rPr>
          <w:spacing w:val="-7"/>
        </w:rPr>
        <w:t> </w:t>
      </w:r>
      <w:r>
        <w:rPr/>
        <w:t>Representation</w:t>
      </w:r>
      <w:r>
        <w:rPr>
          <w:spacing w:val="-7"/>
        </w:rPr>
        <w:t> </w:t>
      </w:r>
      <w:r>
        <w:rPr/>
        <w:t>of</w:t>
      </w:r>
      <w:r>
        <w:rPr>
          <w:spacing w:val="-7"/>
        </w:rPr>
        <w:t> </w:t>
      </w:r>
      <w:r>
        <w:rPr/>
        <w:t>Search Filters", RFC 4515, June 2006.</w:t>
      </w:r>
    </w:p>
    <w:p>
      <w:pPr>
        <w:pStyle w:val="ListParagraph"/>
        <w:numPr>
          <w:ilvl w:val="1"/>
          <w:numId w:val="2"/>
        </w:numPr>
        <w:tabs>
          <w:tab w:pos="876" w:val="left" w:leader="none"/>
        </w:tabs>
        <w:spacing w:line="240" w:lineRule="auto" w:before="215"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9"/>
        <w:ind w:left="2200" w:right="919" w:hanging="1680"/>
      </w:pPr>
      <w:r>
        <w:rPr>
          <w:spacing w:val="-2"/>
        </w:rPr>
        <w:t>[RFC1777]</w:t>
      </w:r>
      <w:r>
        <w:rPr/>
        <w:tab/>
        <w:t>Yeong, W., Howes, T., and S. Kille, "Lightweight Directory</w:t>
      </w:r>
      <w:r>
        <w:rPr>
          <w:spacing w:val="-7"/>
        </w:rPr>
        <w:t> </w:t>
      </w:r>
      <w:r>
        <w:rPr/>
        <w:t>Access</w:t>
      </w:r>
      <w:r>
        <w:rPr>
          <w:spacing w:val="-7"/>
        </w:rPr>
        <w:t> </w:t>
      </w:r>
      <w:r>
        <w:rPr/>
        <w:t>Protocol",</w:t>
      </w:r>
      <w:r>
        <w:rPr>
          <w:spacing w:val="-7"/>
        </w:rPr>
        <w:t> </w:t>
      </w:r>
      <w:r>
        <w:rPr/>
        <w:t>RFC</w:t>
      </w:r>
      <w:r>
        <w:rPr>
          <w:spacing w:val="-7"/>
        </w:rPr>
        <w:t> </w:t>
      </w:r>
      <w:r>
        <w:rPr/>
        <w:t>1777,</w:t>
      </w:r>
      <w:r>
        <w:rPr>
          <w:spacing w:val="-7"/>
        </w:rPr>
        <w:t> </w:t>
      </w:r>
      <w:r>
        <w:rPr/>
        <w:t>March</w:t>
      </w:r>
      <w:r>
        <w:rPr>
          <w:spacing w:val="-7"/>
        </w:rPr>
        <w:t> </w:t>
      </w:r>
      <w:r>
        <w:rPr/>
        <w:t>1995.</w:t>
      </w:r>
    </w:p>
    <w:p>
      <w:pPr>
        <w:pStyle w:val="BodyText"/>
        <w:tabs>
          <w:tab w:pos="2199" w:val="left" w:leader="none"/>
        </w:tabs>
        <w:spacing w:line="232" w:lineRule="auto" w:before="220"/>
        <w:ind w:left="2200" w:right="799" w:hanging="1680"/>
      </w:pPr>
      <w:r>
        <w:rPr>
          <w:spacing w:val="-2"/>
        </w:rPr>
        <w:t>[RFC1960]</w:t>
      </w:r>
      <w:r>
        <w:rPr/>
        <w:tab/>
        <w:t>Howes,</w:t>
      </w:r>
      <w:r>
        <w:rPr>
          <w:spacing w:val="-6"/>
        </w:rPr>
        <w:t> </w:t>
      </w:r>
      <w:r>
        <w:rPr/>
        <w:t>T.,</w:t>
      </w:r>
      <w:r>
        <w:rPr>
          <w:spacing w:val="-6"/>
        </w:rPr>
        <w:t> </w:t>
      </w:r>
      <w:r>
        <w:rPr/>
        <w:t>"A</w:t>
      </w:r>
      <w:r>
        <w:rPr>
          <w:spacing w:val="-6"/>
        </w:rPr>
        <w:t> </w:t>
      </w:r>
      <w:r>
        <w:rPr/>
        <w:t>String</w:t>
      </w:r>
      <w:r>
        <w:rPr>
          <w:spacing w:val="-6"/>
        </w:rPr>
        <w:t> </w:t>
      </w:r>
      <w:r>
        <w:rPr/>
        <w:t>Representation</w:t>
      </w:r>
      <w:r>
        <w:rPr>
          <w:spacing w:val="-6"/>
        </w:rPr>
        <w:t> </w:t>
      </w:r>
      <w:r>
        <w:rPr/>
        <w:t>of</w:t>
      </w:r>
      <w:r>
        <w:rPr>
          <w:spacing w:val="-6"/>
        </w:rPr>
        <w:t> </w:t>
      </w:r>
      <w:r>
        <w:rPr/>
        <w:t>LDAP</w:t>
      </w:r>
      <w:r>
        <w:rPr>
          <w:spacing w:val="-6"/>
        </w:rPr>
        <w:t> </w:t>
      </w:r>
      <w:r>
        <w:rPr/>
        <w:t>Search Filters", RFC 1960, June 1996.</w:t>
      </w:r>
    </w:p>
    <w:p>
      <w:pPr>
        <w:pStyle w:val="BodyText"/>
        <w:tabs>
          <w:tab w:pos="2199" w:val="left" w:leader="none"/>
        </w:tabs>
        <w:spacing w:line="232" w:lineRule="auto"/>
        <w:ind w:left="2200" w:right="199" w:hanging="1680"/>
      </w:pPr>
      <w:r>
        <w:rPr>
          <w:spacing w:val="-2"/>
        </w:rPr>
        <w:t>[RFC3494]</w:t>
      </w:r>
      <w:r>
        <w:rPr/>
        <w:tab/>
        <w:t>Zeilenga, K., "Lightweight Directory Access Protocol version</w:t>
      </w:r>
      <w:r>
        <w:rPr>
          <w:spacing w:val="-6"/>
        </w:rPr>
        <w:t> </w:t>
      </w:r>
      <w:r>
        <w:rPr/>
        <w:t>2</w:t>
      </w:r>
      <w:r>
        <w:rPr>
          <w:spacing w:val="-6"/>
        </w:rPr>
        <w:t> </w:t>
      </w:r>
      <w:r>
        <w:rPr/>
        <w:t>(LDAPv2)</w:t>
      </w:r>
      <w:r>
        <w:rPr>
          <w:spacing w:val="-6"/>
        </w:rPr>
        <w:t> </w:t>
      </w:r>
      <w:r>
        <w:rPr/>
        <w:t>to</w:t>
      </w:r>
      <w:r>
        <w:rPr>
          <w:spacing w:val="-6"/>
        </w:rPr>
        <w:t> </w:t>
      </w:r>
      <w:r>
        <w:rPr/>
        <w:t>Historic</w:t>
      </w:r>
      <w:r>
        <w:rPr>
          <w:spacing w:val="-6"/>
        </w:rPr>
        <w:t> </w:t>
      </w:r>
      <w:r>
        <w:rPr/>
        <w:t>Status",</w:t>
      </w:r>
      <w:r>
        <w:rPr>
          <w:spacing w:val="-6"/>
        </w:rPr>
        <w:t> </w:t>
      </w:r>
      <w:r>
        <w:rPr/>
        <w:t>RFC</w:t>
      </w:r>
      <w:r>
        <w:rPr>
          <w:spacing w:val="-6"/>
        </w:rPr>
        <w:t> </w:t>
      </w:r>
      <w:r>
        <w:rPr/>
        <w:t>3494,</w:t>
      </w:r>
      <w:r>
        <w:rPr>
          <w:spacing w:val="-6"/>
        </w:rPr>
        <w:t> </w:t>
      </w:r>
      <w:r>
        <w:rPr/>
        <w:t>March </w:t>
      </w:r>
      <w:r>
        <w:rPr>
          <w:spacing w:val="-2"/>
        </w:rPr>
        <w:t>2003.</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before="220"/>
        <w:ind w:left="2200" w:right="799" w:hanging="1680"/>
      </w:pPr>
      <w:r>
        <w:rPr>
          <w:spacing w:val="-2"/>
        </w:rPr>
        <w:t>[X.500]</w:t>
      </w:r>
      <w:r>
        <w:rPr/>
        <w:tab/>
        <w:t>International Telecommunication Union - Telecommunication Standardization Sector, "The Directory -- Overview of concepts, models and services,"</w:t>
      </w:r>
      <w:r>
        <w:rPr>
          <w:spacing w:val="-11"/>
        </w:rPr>
        <w:t> </w:t>
      </w:r>
      <w:r>
        <w:rPr/>
        <w:t>X.500(1993)</w:t>
      </w:r>
      <w:r>
        <w:rPr>
          <w:spacing w:val="-11"/>
        </w:rPr>
        <w:t> </w:t>
      </w:r>
      <w:r>
        <w:rPr/>
        <w:t>(also</w:t>
      </w:r>
      <w:r>
        <w:rPr>
          <w:spacing w:val="-11"/>
        </w:rPr>
        <w:t> </w:t>
      </w:r>
      <w:r>
        <w:rPr/>
        <w:t>ISO/IEC</w:t>
      </w:r>
      <w:r>
        <w:rPr>
          <w:spacing w:val="-11"/>
        </w:rPr>
        <w:t> </w:t>
      </w:r>
      <w:r>
        <w:rPr/>
        <w:t>9594-1:1994).</w:t>
      </w:r>
    </w:p>
    <w:p>
      <w:pPr>
        <w:pStyle w:val="BodyText"/>
        <w:tabs>
          <w:tab w:pos="2199" w:val="left" w:leader="none"/>
        </w:tabs>
        <w:spacing w:line="232" w:lineRule="auto"/>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ind w:left="2200" w:right="559" w:hanging="1680"/>
      </w:pPr>
      <w:r>
        <w:rPr>
          <w:spacing w:val="-2"/>
        </w:rPr>
        <w:t>[X.511]</w:t>
      </w:r>
      <w:r>
        <w:rPr/>
        <w:tab/>
        <w:t>International Telecommunication Union - Telecommunication Standardization Sector, "The Directory:</w:t>
      </w:r>
      <w:r>
        <w:rPr>
          <w:spacing w:val="-11"/>
        </w:rPr>
        <w:t> </w:t>
      </w:r>
      <w:r>
        <w:rPr/>
        <w:t>Abstract</w:t>
      </w:r>
      <w:r>
        <w:rPr>
          <w:spacing w:val="-11"/>
        </w:rPr>
        <w:t> </w:t>
      </w:r>
      <w:r>
        <w:rPr/>
        <w:t>Service</w:t>
      </w:r>
      <w:r>
        <w:rPr>
          <w:spacing w:val="-11"/>
        </w:rPr>
        <w:t> </w:t>
      </w:r>
      <w:r>
        <w:rPr/>
        <w:t>Definition",</w:t>
      </w:r>
      <w:r>
        <w:rPr>
          <w:spacing w:val="-11"/>
        </w:rPr>
        <w:t> </w:t>
      </w:r>
      <w:r>
        <w:rPr/>
        <w:t>X.511(1993) (also ISO/IEC 9594-3:1993).</w:t>
      </w:r>
    </w:p>
    <w:p>
      <w:pPr>
        <w:pStyle w:val="BodyText"/>
        <w:tabs>
          <w:tab w:pos="2199" w:val="left" w:leader="none"/>
        </w:tabs>
        <w:spacing w:line="232" w:lineRule="auto"/>
        <w:ind w:left="2200" w:right="559" w:hanging="1680"/>
      </w:pPr>
      <w:r>
        <w:rPr>
          <w:spacing w:val="-2"/>
        </w:rPr>
        <w:t>[ASSIGN]</w:t>
      </w:r>
      <w:r>
        <w:rPr/>
        <w:tab/>
        <w:t>OpenLDAP Foundation, "OpenLDAP OID Delegations", </w:t>
      </w:r>
      <w:hyperlink r:id="rId9">
        <w:r>
          <w:rPr>
            <w:spacing w:val="-2"/>
          </w:rPr>
          <w:t>http://www.openldap.org/foundation/oid-delegate.txt</w:t>
        </w:r>
      </w:hyperlink>
      <w:r>
        <w:rPr>
          <w:spacing w:val="-2"/>
        </w:rPr>
        <w:t>.</w:t>
      </w:r>
    </w:p>
    <w:p>
      <w:pPr>
        <w:pStyle w:val="BodyText"/>
        <w:tabs>
          <w:tab w:pos="2199" w:val="left" w:leader="none"/>
        </w:tabs>
        <w:spacing w:line="232" w:lineRule="auto"/>
        <w:ind w:left="2200" w:right="679" w:hanging="1680"/>
      </w:pPr>
      <w:r>
        <w:rPr>
          <w:spacing w:val="-2"/>
        </w:rPr>
        <w:t>[PRIVATE]</w:t>
      </w:r>
      <w:r>
        <w:rPr/>
        <w:tab/>
        <w:t>IANA, "Private Enterprise Numbers", </w:t>
      </w:r>
      <w:hyperlink r:id="rId10">
        <w:r>
          <w:rPr>
            <w:spacing w:val="-2"/>
          </w:rPr>
          <w:t>http://www.iana.org/assignments/enterprise-numbers</w:t>
        </w:r>
      </w:hyperlink>
      <w:r>
        <w:rPr>
          <w:spacing w:val="-2"/>
        </w:rPr>
        <w:t>.</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11">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2">
        <w:r>
          <w:rPr>
            <w:spacing w:val="-2"/>
          </w:rPr>
          <w:t>http://www.ietf.org/ipr</w:t>
        </w:r>
      </w:hyperlink>
      <w:r>
        <w:rPr>
          <w:spacing w:val="-2"/>
        </w:rPr>
        <w:t>.</w:t>
      </w:r>
    </w:p>
    <w:p>
      <w:pPr>
        <w:pStyle w:val="BodyText"/>
        <w:spacing w:line="232" w:lineRule="auto" w:before="222"/>
        <w:ind w:right="263"/>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3">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796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0851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8480">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08000"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899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0748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104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0544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11552">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04928"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12064">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0441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950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4526</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06976" type="#_x0000_t202" id="docshape4" filled="false" stroked="false">
              <v:textbox inset="0,0,0,0">
                <w:txbxContent>
                  <w:p>
                    <w:pPr>
                      <w:pStyle w:val="BodyText"/>
                      <w:spacing w:before="20"/>
                      <w:ind w:left="20"/>
                    </w:pPr>
                    <w:r>
                      <w:rPr/>
                      <w:t>RFC</w:t>
                    </w:r>
                    <w:r>
                      <w:rPr>
                        <w:spacing w:val="-3"/>
                      </w:rPr>
                      <w:t> </w:t>
                    </w:r>
                    <w:r>
                      <w:rPr>
                        <w:spacing w:val="-4"/>
                      </w:rPr>
                      <w:t>4526</w:t>
                    </w:r>
                  </w:p>
                </w:txbxContent>
              </v:textbox>
              <w10:wrap type="none"/>
            </v:shape>
          </w:pict>
        </mc:Fallback>
      </mc:AlternateContent>
    </w:r>
    <w:r>
      <w:rPr/>
      <mc:AlternateContent>
        <mc:Choice Requires="wps">
          <w:drawing>
            <wp:anchor distT="0" distB="0" distL="0" distR="0" allowOverlap="1" layoutInCell="1" locked="0" behindDoc="1" simplePos="0" relativeHeight="487510016">
              <wp:simplePos x="0" y="0"/>
              <wp:positionH relativeFrom="page">
                <wp:posOffset>2374900</wp:posOffset>
              </wp:positionH>
              <wp:positionV relativeFrom="page">
                <wp:posOffset>491170</wp:posOffset>
              </wp:positionV>
              <wp:extent cx="27686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68600" cy="169545"/>
                      </a:xfrm>
                      <a:prstGeom prst="rect">
                        <a:avLst/>
                      </a:prstGeom>
                    </wps:spPr>
                    <wps:txbx>
                      <w:txbxContent>
                        <w:p>
                          <w:pPr>
                            <w:pStyle w:val="BodyText"/>
                            <w:spacing w:before="20"/>
                            <w:ind w:left="20"/>
                          </w:pPr>
                          <w:r>
                            <w:rPr/>
                            <w:t>LDAP</w:t>
                          </w:r>
                          <w:r>
                            <w:rPr>
                              <w:spacing w:val="-5"/>
                            </w:rPr>
                            <w:t> </w:t>
                          </w:r>
                          <w:r>
                            <w:rPr/>
                            <w:t>Absolute</w:t>
                          </w:r>
                          <w:r>
                            <w:rPr>
                              <w:spacing w:val="-5"/>
                            </w:rPr>
                            <w:t> </w:t>
                          </w:r>
                          <w:r>
                            <w:rPr/>
                            <w:t>True</w:t>
                          </w:r>
                          <w:r>
                            <w:rPr>
                              <w:spacing w:val="-5"/>
                            </w:rPr>
                            <w:t> </w:t>
                          </w:r>
                          <w:r>
                            <w:rPr/>
                            <w:t>and</w:t>
                          </w:r>
                          <w:r>
                            <w:rPr>
                              <w:spacing w:val="-5"/>
                            </w:rPr>
                            <w:t> </w:t>
                          </w:r>
                          <w:r>
                            <w:rPr/>
                            <w:t>False</w:t>
                          </w:r>
                          <w:r>
                            <w:rPr>
                              <w:spacing w:val="-4"/>
                            </w:rPr>
                            <w:t> </w:t>
                          </w:r>
                          <w:r>
                            <w:rPr>
                              <w:spacing w:val="-2"/>
                            </w:rPr>
                            <w:t>Filters</w:t>
                          </w:r>
                        </w:p>
                      </w:txbxContent>
                    </wps:txbx>
                    <wps:bodyPr wrap="square" lIns="0" tIns="0" rIns="0" bIns="0" rtlCol="0">
                      <a:noAutofit/>
                    </wps:bodyPr>
                  </wps:wsp>
                </a:graphicData>
              </a:graphic>
            </wp:anchor>
          </w:drawing>
        </mc:Choice>
        <mc:Fallback>
          <w:pict>
            <v:shape style="position:absolute;margin-left:187pt;margin-top:38.674805pt;width:218pt;height:13.35pt;mso-position-horizontal-relative:page;mso-position-vertical-relative:page;z-index:-15806464" type="#_x0000_t202" id="docshape5" filled="false" stroked="false">
              <v:textbox inset="0,0,0,0">
                <w:txbxContent>
                  <w:p>
                    <w:pPr>
                      <w:pStyle w:val="BodyText"/>
                      <w:spacing w:before="20"/>
                      <w:ind w:left="20"/>
                    </w:pPr>
                    <w:r>
                      <w:rPr/>
                      <w:t>LDAP</w:t>
                    </w:r>
                    <w:r>
                      <w:rPr>
                        <w:spacing w:val="-5"/>
                      </w:rPr>
                      <w:t> </w:t>
                    </w:r>
                    <w:r>
                      <w:rPr/>
                      <w:t>Absolute</w:t>
                    </w:r>
                    <w:r>
                      <w:rPr>
                        <w:spacing w:val="-5"/>
                      </w:rPr>
                      <w:t> </w:t>
                    </w:r>
                    <w:r>
                      <w:rPr/>
                      <w:t>True</w:t>
                    </w:r>
                    <w:r>
                      <w:rPr>
                        <w:spacing w:val="-5"/>
                      </w:rPr>
                      <w:t> </w:t>
                    </w:r>
                    <w:r>
                      <w:rPr/>
                      <w:t>and</w:t>
                    </w:r>
                    <w:r>
                      <w:rPr>
                        <w:spacing w:val="-5"/>
                      </w:rPr>
                      <w:t> </w:t>
                    </w:r>
                    <w:r>
                      <w:rPr/>
                      <w:t>False</w:t>
                    </w:r>
                    <w:r>
                      <w:rPr>
                        <w:spacing w:val="-4"/>
                      </w:rPr>
                      <w:t> </w:t>
                    </w:r>
                    <w:r>
                      <w:rPr>
                        <w:spacing w:val="-2"/>
                      </w:rPr>
                      <w:t>Filters</w:t>
                    </w:r>
                  </w:p>
                </w:txbxContent>
              </v:textbox>
              <w10:wrap type="none"/>
            </v:shape>
          </w:pict>
        </mc:Fallback>
      </mc:AlternateContent>
    </w:r>
    <w:r>
      <w:rPr/>
      <mc:AlternateContent>
        <mc:Choice Requires="wps">
          <w:drawing>
            <wp:anchor distT="0" distB="0" distL="0" distR="0" allowOverlap="1" layoutInCell="1" locked="0" behindDoc="1" simplePos="0" relativeHeight="48751052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0595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http://www.openldap.org/foundation/oid-delegate.txt" TargetMode="External"/><Relationship Id="rId10" Type="http://schemas.openxmlformats.org/officeDocument/2006/relationships/hyperlink" Target="http://www.iana.org/assignments/enterprise-numbers" TargetMode="External"/><Relationship Id="rId11" Type="http://schemas.openxmlformats.org/officeDocument/2006/relationships/hyperlink" Target="mailto:Kurt@OpenLDAP.org" TargetMode="External"/><Relationship Id="rId12" Type="http://schemas.openxmlformats.org/officeDocument/2006/relationships/hyperlink" Target="http://www.ietf.org/ipr" TargetMode="External"/><Relationship Id="rId13" Type="http://schemas.openxmlformats.org/officeDocument/2006/relationships/hyperlink" Target="mailto:ietf-ipr@ietf.org"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2026-01-19T03:25:53Z</dcterms:created>
  <dcterms:modified xsi:type="dcterms:W3CDTF">2026-01-19T03:25:53Z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