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docProps/custom.xml" ContentType="application/vnd.openxmlformats-officedocument.custom-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1" Type="http://schemas.openxmlformats.org/officeDocument/2006/relationships/extended-properties" Target="docProps/app.xml"/><Relationship Id="rId2" Type="http://schemas.openxmlformats.org/package/2006/relationships/metadata/core-properties" Target="docProps/core.xml"/><Relationship Id="rId3"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body>
    <w:p>
      <w:pPr>
        <w:pStyle w:val="BodyText"/>
        <w:tabs>
          <w:tab w:pos="7479" w:val="left" w:leader="none"/>
        </w:tabs>
        <w:spacing w:line="223" w:lineRule="exact" w:before="73"/>
        <w:ind w:left="160"/>
      </w:pPr>
      <w:r>
        <w:rPr/>
        <w:t>Network</w:t>
      </w:r>
      <w:r>
        <w:rPr>
          <w:spacing w:val="-7"/>
        </w:rPr>
        <w:t> </w:t>
      </w:r>
      <w:r>
        <w:rPr/>
        <w:t>Working</w:t>
      </w:r>
      <w:r>
        <w:rPr>
          <w:spacing w:val="-7"/>
        </w:rPr>
        <w:t> </w:t>
      </w:r>
      <w:r>
        <w:rPr>
          <w:spacing w:val="-2"/>
        </w:rPr>
        <w:t>Group</w:t>
      </w:r>
      <w:r>
        <w:rPr/>
        <w:tab/>
        <w:t>K.</w:t>
      </w:r>
      <w:r>
        <w:rPr>
          <w:spacing w:val="-4"/>
        </w:rPr>
        <w:t> </w:t>
      </w:r>
      <w:r>
        <w:rPr>
          <w:spacing w:val="-2"/>
        </w:rPr>
        <w:t>Zeilenga</w:t>
      </w:r>
    </w:p>
    <w:p>
      <w:pPr>
        <w:pStyle w:val="BodyText"/>
        <w:tabs>
          <w:tab w:pos="6519" w:val="left" w:leader="none"/>
        </w:tabs>
        <w:spacing w:line="220" w:lineRule="exact"/>
        <w:ind w:left="160"/>
      </w:pPr>
      <w:r>
        <w:rPr/>
        <w:t>Request</w:t>
      </w:r>
      <w:r>
        <w:rPr>
          <w:spacing w:val="-7"/>
        </w:rPr>
        <w:t> </w:t>
      </w:r>
      <w:r>
        <w:rPr/>
        <w:t>for</w:t>
      </w:r>
      <w:r>
        <w:rPr>
          <w:spacing w:val="-6"/>
        </w:rPr>
        <w:t> </w:t>
      </w:r>
      <w:r>
        <w:rPr/>
        <w:t>Comments:</w:t>
      </w:r>
      <w:r>
        <w:rPr>
          <w:spacing w:val="-6"/>
        </w:rPr>
        <w:t> </w:t>
      </w:r>
      <w:r>
        <w:rPr>
          <w:spacing w:val="-4"/>
        </w:rPr>
        <w:t>4530</w:t>
      </w:r>
      <w:r>
        <w:rPr/>
        <w:tab/>
        <w:t>OpenLDAP</w:t>
      </w:r>
      <w:r>
        <w:rPr>
          <w:spacing w:val="-8"/>
        </w:rPr>
        <w:t> </w:t>
      </w:r>
      <w:r>
        <w:rPr>
          <w:spacing w:val="-2"/>
        </w:rPr>
        <w:t>Foundation</w:t>
      </w:r>
    </w:p>
    <w:p>
      <w:pPr>
        <w:pStyle w:val="BodyText"/>
        <w:tabs>
          <w:tab w:pos="7719" w:val="left" w:leader="none"/>
        </w:tabs>
        <w:spacing w:line="223" w:lineRule="exact"/>
        <w:ind w:left="160"/>
      </w:pPr>
      <w:r>
        <w:rPr/>
        <w:t>Category:</w:t>
      </w:r>
      <w:r>
        <w:rPr>
          <w:spacing w:val="-9"/>
        </w:rPr>
        <w:t> </w:t>
      </w:r>
      <w:r>
        <w:rPr/>
        <w:t>Standards</w:t>
      </w:r>
      <w:r>
        <w:rPr>
          <w:spacing w:val="-9"/>
        </w:rPr>
        <w:t> </w:t>
      </w:r>
      <w:r>
        <w:rPr>
          <w:spacing w:val="-2"/>
        </w:rPr>
        <w:t>Track</w:t>
      </w:r>
      <w:r>
        <w:rPr/>
        <w:tab/>
        <w:t>June</w:t>
      </w:r>
      <w:r>
        <w:rPr>
          <w:spacing w:val="-4"/>
        </w:rPr>
        <w:t> 2006</w:t>
      </w:r>
    </w:p>
    <w:p>
      <w:pPr>
        <w:pStyle w:val="BodyText"/>
        <w:spacing w:before="212"/>
        <w:ind w:left="0"/>
      </w:pPr>
    </w:p>
    <w:p>
      <w:pPr>
        <w:pStyle w:val="BodyText"/>
        <w:spacing w:line="232" w:lineRule="auto"/>
        <w:ind w:left="2560" w:right="983" w:hanging="720"/>
      </w:pPr>
      <w:r>
        <w:rPr/>
        <w:t>Lightweight</w:t>
      </w:r>
      <w:r>
        <w:rPr>
          <w:spacing w:val="-11"/>
        </w:rPr>
        <w:t> </w:t>
      </w:r>
      <w:r>
        <w:rPr/>
        <w:t>Directory</w:t>
      </w:r>
      <w:r>
        <w:rPr>
          <w:spacing w:val="-11"/>
        </w:rPr>
        <w:t> </w:t>
      </w:r>
      <w:r>
        <w:rPr/>
        <w:t>Access</w:t>
      </w:r>
      <w:r>
        <w:rPr>
          <w:spacing w:val="-11"/>
        </w:rPr>
        <w:t> </w:t>
      </w:r>
      <w:r>
        <w:rPr/>
        <w:t>Protocol</w:t>
      </w:r>
      <w:r>
        <w:rPr>
          <w:spacing w:val="-11"/>
        </w:rPr>
        <w:t> </w:t>
      </w:r>
      <w:r>
        <w:rPr/>
        <w:t>(LDAP) entryUUID Operational Attribute</w:t>
      </w:r>
    </w:p>
    <w:p>
      <w:pPr>
        <w:pStyle w:val="BodyText"/>
        <w:spacing w:before="209"/>
        <w:ind w:left="0"/>
      </w:pPr>
    </w:p>
    <w:p>
      <w:pPr>
        <w:pStyle w:val="BodyText"/>
        <w:ind w:left="160"/>
      </w:pPr>
      <w:r>
        <w:rPr/>
        <w:t>Status</w:t>
      </w:r>
      <w:r>
        <w:rPr>
          <w:spacing w:val="-4"/>
        </w:rPr>
        <w:t> </w:t>
      </w:r>
      <w:r>
        <w:rPr/>
        <w:t>of</w:t>
      </w:r>
      <w:r>
        <w:rPr>
          <w:spacing w:val="-4"/>
        </w:rPr>
        <w:t> </w:t>
      </w:r>
      <w:r>
        <w:rPr/>
        <w:t>This</w:t>
      </w:r>
      <w:r>
        <w:rPr>
          <w:spacing w:val="-4"/>
        </w:rPr>
        <w:t> Memo</w:t>
      </w:r>
    </w:p>
    <w:p>
      <w:pPr>
        <w:pStyle w:val="BodyText"/>
        <w:spacing w:line="232" w:lineRule="auto" w:before="218"/>
        <w:ind w:right="199"/>
      </w:pPr>
      <w:r>
        <w:rPr/>
        <w:t>This document specifies an Internet standards track protocol for the Internet community, and requests discussion and suggestions for improvements.</w:t>
      </w:r>
      <w:r>
        <w:rPr>
          <w:spacing w:val="80"/>
        </w:rPr>
        <w:t> </w:t>
      </w:r>
      <w:r>
        <w:rPr/>
        <w:t>Please refer to the current edition of the "Internet Official Protocol Standards" (STD 1) for the standardization state and</w:t>
      </w:r>
      <w:r>
        <w:rPr>
          <w:spacing w:val="-4"/>
        </w:rPr>
        <w:t> </w:t>
      </w:r>
      <w:r>
        <w:rPr/>
        <w:t>status</w:t>
      </w:r>
      <w:r>
        <w:rPr>
          <w:spacing w:val="-4"/>
        </w:rPr>
        <w:t> </w:t>
      </w:r>
      <w:r>
        <w:rPr/>
        <w:t>of</w:t>
      </w:r>
      <w:r>
        <w:rPr>
          <w:spacing w:val="-4"/>
        </w:rPr>
        <w:t> </w:t>
      </w:r>
      <w:r>
        <w:rPr/>
        <w:t>this</w:t>
      </w:r>
      <w:r>
        <w:rPr>
          <w:spacing w:val="-4"/>
        </w:rPr>
        <w:t> </w:t>
      </w:r>
      <w:r>
        <w:rPr/>
        <w:t>protocol.</w:t>
      </w:r>
      <w:r>
        <w:rPr>
          <w:spacing w:val="80"/>
        </w:rPr>
        <w:t> </w:t>
      </w:r>
      <w:r>
        <w:rPr/>
        <w:t>Distribution</w:t>
      </w:r>
      <w:r>
        <w:rPr>
          <w:spacing w:val="-4"/>
        </w:rPr>
        <w:t> </w:t>
      </w:r>
      <w:r>
        <w:rPr/>
        <w:t>of</w:t>
      </w:r>
      <w:r>
        <w:rPr>
          <w:spacing w:val="-4"/>
        </w:rPr>
        <w:t> </w:t>
      </w:r>
      <w:r>
        <w:rPr/>
        <w:t>this</w:t>
      </w:r>
      <w:r>
        <w:rPr>
          <w:spacing w:val="-4"/>
        </w:rPr>
        <w:t> </w:t>
      </w:r>
      <w:r>
        <w:rPr/>
        <w:t>memo</w:t>
      </w:r>
      <w:r>
        <w:rPr>
          <w:spacing w:val="-4"/>
        </w:rPr>
        <w:t> </w:t>
      </w:r>
      <w:r>
        <w:rPr/>
        <w:t>is</w:t>
      </w:r>
      <w:r>
        <w:rPr>
          <w:spacing w:val="-4"/>
        </w:rPr>
        <w:t> </w:t>
      </w:r>
      <w:r>
        <w:rPr/>
        <w:t>unlimited.</w:t>
      </w:r>
    </w:p>
    <w:p>
      <w:pPr>
        <w:pStyle w:val="BodyText"/>
        <w:spacing w:before="217"/>
        <w:ind w:left="160"/>
      </w:pPr>
      <w:r>
        <w:rPr/>
        <w:t>Copyright</w:t>
      </w:r>
      <w:r>
        <w:rPr>
          <w:spacing w:val="-9"/>
        </w:rPr>
        <w:t> </w:t>
      </w:r>
      <w:r>
        <w:rPr>
          <w:spacing w:val="-2"/>
        </w:rPr>
        <w:t>Notice</w:t>
      </w:r>
    </w:p>
    <w:p>
      <w:pPr>
        <w:pStyle w:val="BodyText"/>
        <w:spacing w:before="213"/>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before="213"/>
        <w:ind w:left="160"/>
      </w:pPr>
      <w:r>
        <w:rPr>
          <w:spacing w:val="-2"/>
        </w:rPr>
        <w:t>Abstract</w:t>
      </w:r>
    </w:p>
    <w:p>
      <w:pPr>
        <w:pStyle w:val="BodyText"/>
        <w:spacing w:line="232" w:lineRule="auto" w:before="219"/>
        <w:ind w:right="294"/>
      </w:pPr>
      <w:r>
        <w:rPr/>
        <w:t>This document describes the LDAP/X.500 ’entryUUID’ operational attribute and associated matching rules and syntax.</w:t>
      </w:r>
      <w:r>
        <w:rPr>
          <w:spacing w:val="80"/>
        </w:rPr>
        <w:t> </w:t>
      </w:r>
      <w:r>
        <w:rPr/>
        <w:t>The attribute holds</w:t>
      </w:r>
      <w:r>
        <w:rPr>
          <w:spacing w:val="-6"/>
        </w:rPr>
        <w:t> </w:t>
      </w:r>
      <w:r>
        <w:rPr/>
        <w:t>a</w:t>
      </w:r>
      <w:r>
        <w:rPr>
          <w:spacing w:val="-6"/>
        </w:rPr>
        <w:t> </w:t>
      </w:r>
      <w:r>
        <w:rPr/>
        <w:t>server-assigned</w:t>
      </w:r>
      <w:r>
        <w:rPr>
          <w:spacing w:val="-6"/>
        </w:rPr>
        <w:t> </w:t>
      </w:r>
      <w:r>
        <w:rPr/>
        <w:t>Universally</w:t>
      </w:r>
      <w:r>
        <w:rPr>
          <w:spacing w:val="-6"/>
        </w:rPr>
        <w:t> </w:t>
      </w:r>
      <w:r>
        <w:rPr/>
        <w:t>Unique</w:t>
      </w:r>
      <w:r>
        <w:rPr>
          <w:spacing w:val="-6"/>
        </w:rPr>
        <w:t> </w:t>
      </w:r>
      <w:r>
        <w:rPr/>
        <w:t>Identifier</w:t>
      </w:r>
      <w:r>
        <w:rPr>
          <w:spacing w:val="-6"/>
        </w:rPr>
        <w:t> </w:t>
      </w:r>
      <w:r>
        <w:rPr/>
        <w:t>(UUID)</w:t>
      </w:r>
      <w:r>
        <w:rPr>
          <w:spacing w:val="-6"/>
        </w:rPr>
        <w:t> </w:t>
      </w:r>
      <w:r>
        <w:rPr/>
        <w:t>for</w:t>
      </w:r>
      <w:r>
        <w:rPr>
          <w:spacing w:val="-6"/>
        </w:rPr>
        <w:t> </w:t>
      </w:r>
      <w:r>
        <w:rPr/>
        <w:t>the object.</w:t>
      </w:r>
      <w:r>
        <w:rPr>
          <w:spacing w:val="80"/>
        </w:rPr>
        <w:t> </w:t>
      </w:r>
      <w:r>
        <w:rPr/>
        <w:t>Directory clients may use this attribute to distinguish objects identified by a distinguished name or to locate an object after renaming.</w:t>
      </w:r>
    </w:p>
    <w:p>
      <w:pPr>
        <w:pStyle w:val="BodyText"/>
        <w:spacing w:after="0" w:line="232" w:lineRule="auto"/>
        <w:sectPr>
          <w:footerReference w:type="default" r:id="rId5"/>
          <w:type w:val="continuous"/>
          <w:pgSz w:w="12240" w:h="15840"/>
          <w:pgMar w:header="0" w:footer="2527" w:top="1820" w:bottom="2720" w:left="1440" w:right="1800"/>
          <w:pgNumType w:start="1"/>
        </w:sectPr>
      </w:pPr>
    </w:p>
    <w:p>
      <w:pPr>
        <w:pStyle w:val="BodyText"/>
        <w:spacing w:before="90"/>
        <w:ind w:left="160"/>
      </w:pPr>
      <w:r>
        <w:rPr/>
        <w:t>Table</w:t>
      </w:r>
      <w:r>
        <w:rPr>
          <w:spacing w:val="-4"/>
        </w:rPr>
        <w:t> </w:t>
      </w:r>
      <w:r>
        <w:rPr/>
        <w:t>of</w:t>
      </w:r>
      <w:r>
        <w:rPr>
          <w:spacing w:val="-3"/>
        </w:rPr>
        <w:t> </w:t>
      </w:r>
      <w:r>
        <w:rPr>
          <w:spacing w:val="-2"/>
        </w:rPr>
        <w:t>Contents</w:t>
      </w:r>
    </w:p>
    <w:p>
      <w:pPr>
        <w:pStyle w:val="ListParagraph"/>
        <w:numPr>
          <w:ilvl w:val="0"/>
          <w:numId w:val="1"/>
        </w:numPr>
        <w:tabs>
          <w:tab w:pos="878" w:val="left" w:leader="none"/>
          <w:tab w:pos="8799" w:val="right" w:leader="dot"/>
        </w:tabs>
        <w:spacing w:line="223" w:lineRule="exact" w:before="213" w:after="0"/>
        <w:ind w:left="878" w:right="0" w:hanging="35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5"/>
          <w:sz w:val="20"/>
        </w:rPr>
        <w:t>Use</w:t>
      </w:r>
      <w:r>
        <w:rPr>
          <w:sz w:val="20"/>
        </w:rPr>
        <w:tab/>
      </w:r>
      <w:r>
        <w:rPr>
          <w:spacing w:val="-10"/>
          <w:sz w:val="20"/>
        </w:rPr>
        <w:t>2</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UUID</w:t>
      </w:r>
      <w:r>
        <w:rPr>
          <w:spacing w:val="-5"/>
          <w:sz w:val="20"/>
        </w:rPr>
        <w:t> </w:t>
      </w:r>
      <w:r>
        <w:rPr>
          <w:sz w:val="20"/>
        </w:rPr>
        <w:t>Schema</w:t>
      </w:r>
      <w:r>
        <w:rPr>
          <w:spacing w:val="-5"/>
          <w:sz w:val="20"/>
        </w:rPr>
        <w:t> </w:t>
      </w:r>
      <w:r>
        <w:rPr>
          <w:spacing w:val="-2"/>
          <w:sz w:val="20"/>
        </w:rPr>
        <w:t>Elements</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UUID</w:t>
      </w:r>
      <w:r>
        <w:rPr>
          <w:spacing w:val="-4"/>
          <w:sz w:val="20"/>
        </w:rPr>
        <w:t> </w:t>
      </w:r>
      <w:r>
        <w:rPr>
          <w:spacing w:val="-2"/>
          <w:sz w:val="20"/>
        </w:rPr>
        <w:t>Syntax</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’uuidMatch’</w:t>
      </w:r>
      <w:r>
        <w:rPr>
          <w:spacing w:val="-10"/>
          <w:sz w:val="20"/>
        </w:rPr>
        <w:t> </w:t>
      </w:r>
      <w:r>
        <w:rPr>
          <w:sz w:val="20"/>
        </w:rPr>
        <w:t>Matching</w:t>
      </w:r>
      <w:r>
        <w:rPr>
          <w:spacing w:val="-9"/>
          <w:sz w:val="20"/>
        </w:rPr>
        <w:t> </w:t>
      </w:r>
      <w:r>
        <w:rPr>
          <w:spacing w:val="-4"/>
          <w:sz w:val="20"/>
        </w:rPr>
        <w:t>Rule</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’uuidOrderingMatch’</w:t>
      </w:r>
      <w:r>
        <w:rPr>
          <w:spacing w:val="-14"/>
          <w:sz w:val="20"/>
        </w:rPr>
        <w:t> </w:t>
      </w:r>
      <w:r>
        <w:rPr>
          <w:sz w:val="20"/>
        </w:rPr>
        <w:t>Matching</w:t>
      </w:r>
      <w:r>
        <w:rPr>
          <w:spacing w:val="-13"/>
          <w:sz w:val="20"/>
        </w:rPr>
        <w:t> </w:t>
      </w:r>
      <w:r>
        <w:rPr>
          <w:spacing w:val="-4"/>
          <w:sz w:val="20"/>
        </w:rPr>
        <w:t>Rule</w:t>
      </w:r>
      <w:r>
        <w:rPr>
          <w:sz w:val="20"/>
        </w:rPr>
        <w:tab/>
      </w:r>
      <w:r>
        <w:rPr>
          <w:spacing w:val="-10"/>
          <w:sz w:val="20"/>
        </w:rPr>
        <w:t>3</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’entryUUID’</w:t>
      </w:r>
      <w:r>
        <w:rPr>
          <w:spacing w:val="-11"/>
          <w:sz w:val="20"/>
        </w:rPr>
        <w:t> </w:t>
      </w:r>
      <w:r>
        <w:rPr>
          <w:spacing w:val="-2"/>
          <w:sz w:val="20"/>
        </w:rPr>
        <w:t>Attribute</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Security</w:t>
      </w:r>
      <w:r>
        <w:rPr>
          <w:spacing w:val="-8"/>
          <w:sz w:val="20"/>
        </w:rPr>
        <w:t> </w:t>
      </w:r>
      <w:r>
        <w:rPr>
          <w:spacing w:val="-2"/>
          <w:sz w:val="20"/>
        </w:rPr>
        <w:t>Considerations</w:t>
      </w:r>
      <w:r>
        <w:rPr>
          <w:sz w:val="20"/>
        </w:rPr>
        <w:tab/>
      </w:r>
      <w:r>
        <w:rPr>
          <w:spacing w:val="-10"/>
          <w:sz w:val="20"/>
        </w:rPr>
        <w:t>4</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z w:val="20"/>
        </w:rPr>
        <w:t>IANA</w:t>
      </w:r>
      <w:r>
        <w:rPr>
          <w:spacing w:val="-4"/>
          <w:sz w:val="20"/>
        </w:rPr>
        <w:t> </w:t>
      </w:r>
      <w:r>
        <w:rPr>
          <w:spacing w:val="-2"/>
          <w:sz w:val="20"/>
        </w:rPr>
        <w:t>Considerations</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Object</w:t>
      </w:r>
      <w:r>
        <w:rPr>
          <w:spacing w:val="-8"/>
          <w:sz w:val="20"/>
        </w:rPr>
        <w:t> </w:t>
      </w:r>
      <w:r>
        <w:rPr>
          <w:sz w:val="20"/>
        </w:rPr>
        <w:t>Identifier</w:t>
      </w:r>
      <w:r>
        <w:rPr>
          <w:spacing w:val="-8"/>
          <w:sz w:val="20"/>
        </w:rPr>
        <w:t> </w:t>
      </w:r>
      <w:r>
        <w:rPr>
          <w:spacing w:val="-2"/>
          <w:sz w:val="20"/>
        </w:rPr>
        <w:t>Registration</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UUID</w:t>
      </w:r>
      <w:r>
        <w:rPr>
          <w:spacing w:val="-5"/>
          <w:sz w:val="20"/>
        </w:rPr>
        <w:t> </w:t>
      </w:r>
      <w:r>
        <w:rPr>
          <w:sz w:val="20"/>
        </w:rPr>
        <w:t>Syntax</w:t>
      </w:r>
      <w:r>
        <w:rPr>
          <w:spacing w:val="-5"/>
          <w:sz w:val="20"/>
        </w:rPr>
        <w:t> </w:t>
      </w:r>
      <w:r>
        <w:rPr>
          <w:spacing w:val="-2"/>
          <w:sz w:val="20"/>
        </w:rPr>
        <w:t>Registration</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’uuidMatch’</w:t>
      </w:r>
      <w:r>
        <w:rPr>
          <w:spacing w:val="-11"/>
          <w:sz w:val="20"/>
        </w:rPr>
        <w:t> </w:t>
      </w:r>
      <w:r>
        <w:rPr>
          <w:sz w:val="20"/>
        </w:rPr>
        <w:t>Descriptor</w:t>
      </w:r>
      <w:r>
        <w:rPr>
          <w:spacing w:val="-10"/>
          <w:sz w:val="20"/>
        </w:rPr>
        <w:t> </w:t>
      </w:r>
      <w:r>
        <w:rPr>
          <w:spacing w:val="-2"/>
          <w:sz w:val="20"/>
        </w:rPr>
        <w:t>Registration</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’uuidOrderingMatch’</w:t>
      </w:r>
      <w:r>
        <w:rPr>
          <w:spacing w:val="-15"/>
          <w:sz w:val="20"/>
        </w:rPr>
        <w:t> </w:t>
      </w:r>
      <w:r>
        <w:rPr>
          <w:sz w:val="20"/>
        </w:rPr>
        <w:t>Descriptor</w:t>
      </w:r>
      <w:r>
        <w:rPr>
          <w:spacing w:val="-14"/>
          <w:sz w:val="20"/>
        </w:rPr>
        <w:t> </w:t>
      </w:r>
      <w:r>
        <w:rPr>
          <w:spacing w:val="-2"/>
          <w:sz w:val="20"/>
        </w:rPr>
        <w:t>Registration</w:t>
      </w:r>
      <w:r>
        <w:rPr>
          <w:sz w:val="20"/>
        </w:rPr>
        <w:tab/>
      </w:r>
      <w:r>
        <w:rPr>
          <w:spacing w:val="-10"/>
          <w:sz w:val="20"/>
        </w:rPr>
        <w:t>5</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’entryUUID’</w:t>
      </w:r>
      <w:r>
        <w:rPr>
          <w:spacing w:val="-11"/>
          <w:sz w:val="20"/>
        </w:rPr>
        <w:t> </w:t>
      </w:r>
      <w:r>
        <w:rPr>
          <w:sz w:val="20"/>
        </w:rPr>
        <w:t>Descriptor</w:t>
      </w:r>
      <w:r>
        <w:rPr>
          <w:spacing w:val="-10"/>
          <w:sz w:val="20"/>
        </w:rPr>
        <w:t> </w:t>
      </w:r>
      <w:r>
        <w:rPr>
          <w:spacing w:val="-2"/>
          <w:sz w:val="20"/>
        </w:rPr>
        <w:t>Registration</w:t>
      </w:r>
      <w:r>
        <w:rPr>
          <w:sz w:val="20"/>
        </w:rPr>
        <w:tab/>
      </w:r>
      <w:r>
        <w:rPr>
          <w:spacing w:val="-10"/>
          <w:sz w:val="20"/>
        </w:rPr>
        <w:t>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Acknowledgements</w:t>
      </w:r>
      <w:r>
        <w:rPr>
          <w:sz w:val="20"/>
        </w:rPr>
        <w:tab/>
      </w:r>
      <w:r>
        <w:rPr>
          <w:spacing w:val="-10"/>
          <w:sz w:val="20"/>
        </w:rPr>
        <w:t>6</w:t>
      </w:r>
    </w:p>
    <w:p>
      <w:pPr>
        <w:pStyle w:val="ListParagraph"/>
        <w:numPr>
          <w:ilvl w:val="0"/>
          <w:numId w:val="1"/>
        </w:numPr>
        <w:tabs>
          <w:tab w:pos="878" w:val="left" w:leader="none"/>
          <w:tab w:pos="8799" w:val="right" w:leader="dot"/>
        </w:tabs>
        <w:spacing w:line="220" w:lineRule="exact" w:before="0" w:after="0"/>
        <w:ind w:left="878" w:right="0" w:hanging="358"/>
        <w:jc w:val="left"/>
        <w:rPr>
          <w:sz w:val="20"/>
        </w:rPr>
      </w:pPr>
      <w:r>
        <w:rPr>
          <w:spacing w:val="-2"/>
          <w:sz w:val="20"/>
        </w:rPr>
        <w:t>References</w:t>
      </w:r>
      <w:r>
        <w:rPr>
          <w:sz w:val="20"/>
        </w:rPr>
        <w:tab/>
      </w:r>
      <w:r>
        <w:rPr>
          <w:spacing w:val="-10"/>
          <w:sz w:val="20"/>
        </w:rPr>
        <w:t>6</w:t>
      </w:r>
    </w:p>
    <w:p>
      <w:pPr>
        <w:pStyle w:val="ListParagraph"/>
        <w:numPr>
          <w:ilvl w:val="1"/>
          <w:numId w:val="1"/>
        </w:numPr>
        <w:tabs>
          <w:tab w:pos="1476" w:val="left" w:leader="none"/>
          <w:tab w:pos="8799" w:val="right" w:leader="dot"/>
        </w:tabs>
        <w:spacing w:line="220" w:lineRule="exact" w:before="0" w:after="0"/>
        <w:ind w:left="1476" w:right="0" w:hanging="596"/>
        <w:jc w:val="left"/>
        <w:rPr>
          <w:sz w:val="20"/>
        </w:rPr>
      </w:pPr>
      <w:r>
        <w:rPr>
          <w:sz w:val="20"/>
        </w:rPr>
        <w:t>Normative</w:t>
      </w:r>
      <w:r>
        <w:rPr>
          <w:spacing w:val="-9"/>
          <w:sz w:val="20"/>
        </w:rPr>
        <w:t> </w:t>
      </w:r>
      <w:r>
        <w:rPr>
          <w:spacing w:val="-2"/>
          <w:sz w:val="20"/>
        </w:rPr>
        <w:t>References</w:t>
      </w:r>
      <w:r>
        <w:rPr>
          <w:sz w:val="20"/>
        </w:rPr>
        <w:tab/>
      </w:r>
      <w:r>
        <w:rPr>
          <w:spacing w:val="-10"/>
          <w:sz w:val="20"/>
        </w:rPr>
        <w:t>6</w:t>
      </w:r>
    </w:p>
    <w:p>
      <w:pPr>
        <w:pStyle w:val="ListParagraph"/>
        <w:numPr>
          <w:ilvl w:val="1"/>
          <w:numId w:val="1"/>
        </w:numPr>
        <w:tabs>
          <w:tab w:pos="1476" w:val="left" w:leader="none"/>
          <w:tab w:pos="8799" w:val="right" w:leader="dot"/>
        </w:tabs>
        <w:spacing w:line="223" w:lineRule="exact" w:before="0" w:after="0"/>
        <w:ind w:left="1476" w:right="0" w:hanging="596"/>
        <w:jc w:val="left"/>
        <w:rPr>
          <w:sz w:val="20"/>
        </w:rPr>
      </w:pPr>
      <w:r>
        <w:rPr>
          <w:sz w:val="20"/>
        </w:rPr>
        <w:t>Informative</w:t>
      </w:r>
      <w:r>
        <w:rPr>
          <w:spacing w:val="-11"/>
          <w:sz w:val="20"/>
        </w:rPr>
        <w:t> </w:t>
      </w:r>
      <w:r>
        <w:rPr>
          <w:spacing w:val="-2"/>
          <w:sz w:val="20"/>
        </w:rPr>
        <w:t>References</w:t>
      </w:r>
      <w:r>
        <w:rPr>
          <w:sz w:val="20"/>
        </w:rPr>
        <w:tab/>
      </w:r>
      <w:r>
        <w:rPr>
          <w:spacing w:val="-10"/>
          <w:sz w:val="20"/>
        </w:rPr>
        <w:t>7</w:t>
      </w:r>
    </w:p>
    <w:p>
      <w:pPr>
        <w:pStyle w:val="ListParagraph"/>
        <w:numPr>
          <w:ilvl w:val="0"/>
          <w:numId w:val="2"/>
        </w:numPr>
        <w:tabs>
          <w:tab w:pos="638" w:val="left" w:leader="none"/>
        </w:tabs>
        <w:spacing w:line="240" w:lineRule="auto" w:before="214" w:after="0"/>
        <w:ind w:left="638" w:right="0" w:hanging="478"/>
        <w:jc w:val="left"/>
        <w:rPr>
          <w:sz w:val="20"/>
        </w:rPr>
      </w:pPr>
      <w:r>
        <w:rPr>
          <w:sz w:val="20"/>
        </w:rPr>
        <w:t>Background</w:t>
      </w:r>
      <w:r>
        <w:rPr>
          <w:spacing w:val="-7"/>
          <w:sz w:val="20"/>
        </w:rPr>
        <w:t> </w:t>
      </w:r>
      <w:r>
        <w:rPr>
          <w:sz w:val="20"/>
        </w:rPr>
        <w:t>and</w:t>
      </w:r>
      <w:r>
        <w:rPr>
          <w:spacing w:val="-7"/>
          <w:sz w:val="20"/>
        </w:rPr>
        <w:t> </w:t>
      </w:r>
      <w:r>
        <w:rPr>
          <w:sz w:val="20"/>
        </w:rPr>
        <w:t>Intended</w:t>
      </w:r>
      <w:r>
        <w:rPr>
          <w:spacing w:val="-7"/>
          <w:sz w:val="20"/>
        </w:rPr>
        <w:t> </w:t>
      </w:r>
      <w:r>
        <w:rPr>
          <w:spacing w:val="-5"/>
          <w:sz w:val="20"/>
        </w:rPr>
        <w:t>Use</w:t>
      </w:r>
    </w:p>
    <w:p>
      <w:pPr>
        <w:pStyle w:val="BodyText"/>
        <w:spacing w:line="232" w:lineRule="auto" w:before="218"/>
        <w:ind w:right="199"/>
      </w:pPr>
      <w:r>
        <w:rPr/>
        <w:t>In X.500 Directory Services [X.501], such as those accessible using the</w:t>
      </w:r>
      <w:r>
        <w:rPr>
          <w:spacing w:val="-6"/>
        </w:rPr>
        <w:t> </w:t>
      </w:r>
      <w:r>
        <w:rPr/>
        <w:t>Lightweight</w:t>
      </w:r>
      <w:r>
        <w:rPr>
          <w:spacing w:val="-6"/>
        </w:rPr>
        <w:t> </w:t>
      </w:r>
      <w:r>
        <w:rPr/>
        <w:t>Directory</w:t>
      </w:r>
      <w:r>
        <w:rPr>
          <w:spacing w:val="-6"/>
        </w:rPr>
        <w:t> </w:t>
      </w:r>
      <w:r>
        <w:rPr/>
        <w:t>Access</w:t>
      </w:r>
      <w:r>
        <w:rPr>
          <w:spacing w:val="-6"/>
        </w:rPr>
        <w:t> </w:t>
      </w:r>
      <w:r>
        <w:rPr/>
        <w:t>Protocol</w:t>
      </w:r>
      <w:r>
        <w:rPr>
          <w:spacing w:val="-6"/>
        </w:rPr>
        <w:t> </w:t>
      </w:r>
      <w:r>
        <w:rPr/>
        <w:t>(LDAP)</w:t>
      </w:r>
      <w:r>
        <w:rPr>
          <w:spacing w:val="-6"/>
        </w:rPr>
        <w:t> </w:t>
      </w:r>
      <w:r>
        <w:rPr/>
        <w:t>[RFC4510],</w:t>
      </w:r>
      <w:r>
        <w:rPr>
          <w:spacing w:val="-6"/>
        </w:rPr>
        <w:t> </w:t>
      </w:r>
      <w:r>
        <w:rPr/>
        <w:t>an</w:t>
      </w:r>
      <w:r>
        <w:rPr>
          <w:spacing w:val="-6"/>
        </w:rPr>
        <w:t> </w:t>
      </w:r>
      <w:r>
        <w:rPr/>
        <w:t>object is identified by its distinguished name (DN).</w:t>
      </w:r>
      <w:r>
        <w:rPr>
          <w:spacing w:val="80"/>
        </w:rPr>
        <w:t> </w:t>
      </w:r>
      <w:r>
        <w:rPr/>
        <w:t>However, DNs are not stable identifiers.</w:t>
      </w:r>
      <w:r>
        <w:rPr>
          <w:spacing w:val="80"/>
        </w:rPr>
        <w:t> </w:t>
      </w:r>
      <w:r>
        <w:rPr/>
        <w:t>That is, a new object may be identified by a DN that previously identified another (now renamed or deleted) object.</w:t>
      </w:r>
    </w:p>
    <w:p>
      <w:pPr>
        <w:pStyle w:val="BodyText"/>
        <w:spacing w:line="232" w:lineRule="auto" w:before="221"/>
        <w:ind w:right="294"/>
      </w:pPr>
      <w:r>
        <w:rPr/>
        <w:t>A Universally Unique Identifier (UUID) is "an identifier unique across</w:t>
      </w:r>
      <w:r>
        <w:rPr>
          <w:spacing w:val="-4"/>
        </w:rPr>
        <w:t> </w:t>
      </w:r>
      <w:r>
        <w:rPr/>
        <w:t>both</w:t>
      </w:r>
      <w:r>
        <w:rPr>
          <w:spacing w:val="-4"/>
        </w:rPr>
        <w:t> </w:t>
      </w:r>
      <w:r>
        <w:rPr/>
        <w:t>space</w:t>
      </w:r>
      <w:r>
        <w:rPr>
          <w:spacing w:val="-4"/>
        </w:rPr>
        <w:t> </w:t>
      </w:r>
      <w:r>
        <w:rPr/>
        <w:t>and</w:t>
      </w:r>
      <w:r>
        <w:rPr>
          <w:spacing w:val="-4"/>
        </w:rPr>
        <w:t> </w:t>
      </w:r>
      <w:r>
        <w:rPr/>
        <w:t>time,</w:t>
      </w:r>
      <w:r>
        <w:rPr>
          <w:spacing w:val="-4"/>
        </w:rPr>
        <w:t> </w:t>
      </w:r>
      <w:r>
        <w:rPr/>
        <w:t>with</w:t>
      </w:r>
      <w:r>
        <w:rPr>
          <w:spacing w:val="-4"/>
        </w:rPr>
        <w:t> </w:t>
      </w:r>
      <w:r>
        <w:rPr/>
        <w:t>respect</w:t>
      </w:r>
      <w:r>
        <w:rPr>
          <w:spacing w:val="-4"/>
        </w:rPr>
        <w:t> </w:t>
      </w:r>
      <w:r>
        <w:rPr/>
        <w:t>to</w:t>
      </w:r>
      <w:r>
        <w:rPr>
          <w:spacing w:val="-4"/>
        </w:rPr>
        <w:t> </w:t>
      </w:r>
      <w:r>
        <w:rPr/>
        <w:t>the</w:t>
      </w:r>
      <w:r>
        <w:rPr>
          <w:spacing w:val="-4"/>
        </w:rPr>
        <w:t> </w:t>
      </w:r>
      <w:r>
        <w:rPr/>
        <w:t>space</w:t>
      </w:r>
      <w:r>
        <w:rPr>
          <w:spacing w:val="-4"/>
        </w:rPr>
        <w:t> </w:t>
      </w:r>
      <w:r>
        <w:rPr/>
        <w:t>of</w:t>
      </w:r>
      <w:r>
        <w:rPr>
          <w:spacing w:val="-4"/>
        </w:rPr>
        <w:t> </w:t>
      </w:r>
      <w:r>
        <w:rPr/>
        <w:t>all</w:t>
      </w:r>
      <w:r>
        <w:rPr>
          <w:spacing w:val="-4"/>
        </w:rPr>
        <w:t> </w:t>
      </w:r>
      <w:r>
        <w:rPr/>
        <w:t>UUIDs" [RFC4122].</w:t>
      </w:r>
      <w:r>
        <w:rPr>
          <w:spacing w:val="80"/>
        </w:rPr>
        <w:t> </w:t>
      </w:r>
      <w:r>
        <w:rPr/>
        <w:t>UUIDs are used in a wide range of systems.</w:t>
      </w:r>
    </w:p>
    <w:p>
      <w:pPr>
        <w:pStyle w:val="BodyText"/>
        <w:spacing w:line="232" w:lineRule="auto" w:before="221"/>
        <w:ind w:right="199"/>
      </w:pPr>
      <w:r>
        <w:rPr/>
        <w:t>This document describes the ’entryUUID’ operational attribute, which holds</w:t>
      </w:r>
      <w:r>
        <w:rPr>
          <w:spacing w:val="-4"/>
        </w:rPr>
        <w:t> </w:t>
      </w:r>
      <w:r>
        <w:rPr/>
        <w:t>the</w:t>
      </w:r>
      <w:r>
        <w:rPr>
          <w:spacing w:val="-4"/>
        </w:rPr>
        <w:t> </w:t>
      </w:r>
      <w:r>
        <w:rPr/>
        <w:t>UUID</w:t>
      </w:r>
      <w:r>
        <w:rPr>
          <w:spacing w:val="-4"/>
        </w:rPr>
        <w:t> </w:t>
      </w:r>
      <w:r>
        <w:rPr/>
        <w:t>assigned</w:t>
      </w:r>
      <w:r>
        <w:rPr>
          <w:spacing w:val="-4"/>
        </w:rPr>
        <w:t> </w:t>
      </w:r>
      <w:r>
        <w:rPr/>
        <w:t>to</w:t>
      </w:r>
      <w:r>
        <w:rPr>
          <w:spacing w:val="-4"/>
        </w:rPr>
        <w:t> </w:t>
      </w:r>
      <w:r>
        <w:rPr/>
        <w:t>the</w:t>
      </w:r>
      <w:r>
        <w:rPr>
          <w:spacing w:val="-4"/>
        </w:rPr>
        <w:t> </w:t>
      </w:r>
      <w:r>
        <w:rPr/>
        <w:t>object</w:t>
      </w:r>
      <w:r>
        <w:rPr>
          <w:spacing w:val="-4"/>
        </w:rPr>
        <w:t> </w:t>
      </w:r>
      <w:r>
        <w:rPr/>
        <w:t>by</w:t>
      </w:r>
      <w:r>
        <w:rPr>
          <w:spacing w:val="-4"/>
        </w:rPr>
        <w:t> </w:t>
      </w:r>
      <w:r>
        <w:rPr/>
        <w:t>the</w:t>
      </w:r>
      <w:r>
        <w:rPr>
          <w:spacing w:val="-4"/>
        </w:rPr>
        <w:t> </w:t>
      </w:r>
      <w:r>
        <w:rPr/>
        <w:t>server.</w:t>
      </w:r>
      <w:r>
        <w:rPr>
          <w:spacing w:val="80"/>
        </w:rPr>
        <w:t> </w:t>
      </w:r>
      <w:r>
        <w:rPr/>
        <w:t>Clients</w:t>
      </w:r>
      <w:r>
        <w:rPr>
          <w:spacing w:val="-4"/>
        </w:rPr>
        <w:t> </w:t>
      </w:r>
      <w:r>
        <w:rPr/>
        <w:t>may</w:t>
      </w:r>
      <w:r>
        <w:rPr>
          <w:spacing w:val="-4"/>
        </w:rPr>
        <w:t> </w:t>
      </w:r>
      <w:r>
        <w:rPr/>
        <w:t>use this attribute to distinguish objects identified by a particular distinguished name or to locate a particular object after renaming.</w:t>
      </w:r>
    </w:p>
    <w:p>
      <w:pPr>
        <w:pStyle w:val="BodyText"/>
        <w:spacing w:line="232" w:lineRule="auto" w:before="221"/>
        <w:ind w:right="294"/>
      </w:pPr>
      <w:r>
        <w:rPr/>
        <w:t>This document defines the UUID syntax, the ’uuidMatch’ and ’uuidOrderingMatch’</w:t>
      </w:r>
      <w:r>
        <w:rPr>
          <w:spacing w:val="-7"/>
        </w:rPr>
        <w:t> </w:t>
      </w:r>
      <w:r>
        <w:rPr/>
        <w:t>matching</w:t>
      </w:r>
      <w:r>
        <w:rPr>
          <w:spacing w:val="-7"/>
        </w:rPr>
        <w:t> </w:t>
      </w:r>
      <w:r>
        <w:rPr/>
        <w:t>rules,</w:t>
      </w:r>
      <w:r>
        <w:rPr>
          <w:spacing w:val="-7"/>
        </w:rPr>
        <w:t> </w:t>
      </w:r>
      <w:r>
        <w:rPr/>
        <w:t>and</w:t>
      </w:r>
      <w:r>
        <w:rPr>
          <w:spacing w:val="-7"/>
        </w:rPr>
        <w:t> </w:t>
      </w:r>
      <w:r>
        <w:rPr/>
        <w:t>the</w:t>
      </w:r>
      <w:r>
        <w:rPr>
          <w:spacing w:val="-7"/>
        </w:rPr>
        <w:t> </w:t>
      </w:r>
      <w:r>
        <w:rPr/>
        <w:t>’entryUUID’</w:t>
      </w:r>
      <w:r>
        <w:rPr>
          <w:spacing w:val="-7"/>
        </w:rPr>
        <w:t> </w:t>
      </w:r>
      <w:r>
        <w:rPr/>
        <w:t>attribute </w:t>
      </w:r>
      <w:r>
        <w:rPr>
          <w:spacing w:val="-2"/>
        </w:rPr>
        <w:t>type.</w:t>
      </w:r>
    </w:p>
    <w:p>
      <w:pPr>
        <w:pStyle w:val="BodyText"/>
        <w:spacing w:line="232" w:lineRule="auto" w:before="221"/>
        <w:ind w:right="294"/>
      </w:pPr>
      <w:r>
        <w:rPr/>
        <w:t>Schema definitions are provided using LDAP description formats [RFC4512].</w:t>
      </w:r>
      <w:r>
        <w:rPr>
          <w:spacing w:val="80"/>
        </w:rPr>
        <w:t> </w:t>
      </w:r>
      <w:r>
        <w:rPr/>
        <w:t>Definitions</w:t>
      </w:r>
      <w:r>
        <w:rPr>
          <w:spacing w:val="-6"/>
        </w:rPr>
        <w:t> </w:t>
      </w:r>
      <w:r>
        <w:rPr/>
        <w:t>provided</w:t>
      </w:r>
      <w:r>
        <w:rPr>
          <w:spacing w:val="-6"/>
        </w:rPr>
        <w:t> </w:t>
      </w:r>
      <w:r>
        <w:rPr/>
        <w:t>here</w:t>
      </w:r>
      <w:r>
        <w:rPr>
          <w:spacing w:val="-6"/>
        </w:rPr>
        <w:t> </w:t>
      </w:r>
      <w:r>
        <w:rPr/>
        <w:t>are</w:t>
      </w:r>
      <w:r>
        <w:rPr>
          <w:spacing w:val="-6"/>
        </w:rPr>
        <w:t> </w:t>
      </w:r>
      <w:r>
        <w:rPr/>
        <w:t>formatted</w:t>
      </w:r>
      <w:r>
        <w:rPr>
          <w:spacing w:val="-6"/>
        </w:rPr>
        <w:t> </w:t>
      </w:r>
      <w:r>
        <w:rPr/>
        <w:t>(line</w:t>
      </w:r>
      <w:r>
        <w:rPr>
          <w:spacing w:val="-6"/>
        </w:rPr>
        <w:t> </w:t>
      </w:r>
      <w:r>
        <w:rPr/>
        <w:t>wrapped) for readability.</w:t>
      </w:r>
    </w:p>
    <w:p>
      <w:pPr>
        <w:pStyle w:val="BodyText"/>
        <w:spacing w:after="0" w:line="232" w:lineRule="auto"/>
        <w:sectPr>
          <w:headerReference w:type="default" r:id="rId6"/>
          <w:footerReference w:type="default" r:id="rId7"/>
          <w:pgSz w:w="12240" w:h="15840"/>
          <w:pgMar w:header="793" w:footer="2967" w:top="1360" w:bottom="3160" w:left="1440" w:right="1800"/>
          <w:pgNumType w:start="2"/>
        </w:sectPr>
      </w:pPr>
    </w:p>
    <w:p>
      <w:pPr>
        <w:pStyle w:val="BodyText"/>
        <w:spacing w:line="232" w:lineRule="auto" w:before="95"/>
      </w:pPr>
      <w:r>
        <w:rPr/>
        <w:t>In this document, the key words "MUST", "MUST NOT", "REQUIRED", "SHALL",</w:t>
      </w:r>
      <w:r>
        <w:rPr>
          <w:spacing w:val="-6"/>
        </w:rPr>
        <w:t> </w:t>
      </w:r>
      <w:r>
        <w:rPr/>
        <w:t>"SHALL</w:t>
      </w:r>
      <w:r>
        <w:rPr>
          <w:spacing w:val="-6"/>
        </w:rPr>
        <w:t> </w:t>
      </w:r>
      <w:r>
        <w:rPr/>
        <w:t>NOT",</w:t>
      </w:r>
      <w:r>
        <w:rPr>
          <w:spacing w:val="-6"/>
        </w:rPr>
        <w:t> </w:t>
      </w:r>
      <w:r>
        <w:rPr/>
        <w:t>"SHOULD",</w:t>
      </w:r>
      <w:r>
        <w:rPr>
          <w:spacing w:val="-6"/>
        </w:rPr>
        <w:t> </w:t>
      </w:r>
      <w:r>
        <w:rPr/>
        <w:t>"SHOULD</w:t>
      </w:r>
      <w:r>
        <w:rPr>
          <w:spacing w:val="-6"/>
        </w:rPr>
        <w:t> </w:t>
      </w:r>
      <w:r>
        <w:rPr/>
        <w:t>NOT",</w:t>
      </w:r>
      <w:r>
        <w:rPr>
          <w:spacing w:val="-6"/>
        </w:rPr>
        <w:t> </w:t>
      </w:r>
      <w:r>
        <w:rPr/>
        <w:t>"RECOMMENDED",</w:t>
      </w:r>
      <w:r>
        <w:rPr>
          <w:spacing w:val="-6"/>
        </w:rPr>
        <w:t> </w:t>
      </w:r>
      <w:r>
        <w:rPr/>
        <w:t>"MAY",</w:t>
      </w:r>
    </w:p>
    <w:p>
      <w:pPr>
        <w:pStyle w:val="BodyText"/>
        <w:spacing w:line="232" w:lineRule="auto"/>
        <w:ind w:right="983"/>
      </w:pPr>
      <w:r>
        <w:rPr/>
        <w:t>and</w:t>
      </w:r>
      <w:r>
        <w:rPr>
          <w:spacing w:val="-5"/>
        </w:rPr>
        <w:t> </w:t>
      </w:r>
      <w:r>
        <w:rPr/>
        <w:t>"OPTIONAL"</w:t>
      </w:r>
      <w:r>
        <w:rPr>
          <w:spacing w:val="-5"/>
        </w:rPr>
        <w:t> </w:t>
      </w:r>
      <w:r>
        <w:rPr/>
        <w:t>are</w:t>
      </w:r>
      <w:r>
        <w:rPr>
          <w:spacing w:val="-5"/>
        </w:rPr>
        <w:t> </w:t>
      </w:r>
      <w:r>
        <w:rPr/>
        <w:t>to</w:t>
      </w:r>
      <w:r>
        <w:rPr>
          <w:spacing w:val="-5"/>
        </w:rPr>
        <w:t> </w:t>
      </w:r>
      <w:r>
        <w:rPr/>
        <w:t>be</w:t>
      </w:r>
      <w:r>
        <w:rPr>
          <w:spacing w:val="-5"/>
        </w:rPr>
        <w:t> </w:t>
      </w:r>
      <w:r>
        <w:rPr/>
        <w:t>interpreted</w:t>
      </w:r>
      <w:r>
        <w:rPr>
          <w:spacing w:val="-5"/>
        </w:rPr>
        <w:t> </w:t>
      </w:r>
      <w:r>
        <w:rPr/>
        <w:t>as</w:t>
      </w:r>
      <w:r>
        <w:rPr>
          <w:spacing w:val="-5"/>
        </w:rPr>
        <w:t> </w:t>
      </w:r>
      <w:r>
        <w:rPr/>
        <w:t>described</w:t>
      </w:r>
      <w:r>
        <w:rPr>
          <w:spacing w:val="-5"/>
        </w:rPr>
        <w:t> </w:t>
      </w:r>
      <w:r>
        <w:rPr/>
        <w:t>in</w:t>
      </w:r>
      <w:r>
        <w:rPr>
          <w:spacing w:val="-5"/>
        </w:rPr>
        <w:t> </w:t>
      </w:r>
      <w:r>
        <w:rPr/>
        <w:t>BCP</w:t>
      </w:r>
      <w:r>
        <w:rPr>
          <w:spacing w:val="-5"/>
        </w:rPr>
        <w:t> </w:t>
      </w:r>
      <w:r>
        <w:rPr/>
        <w:t>14 </w:t>
      </w:r>
      <w:r>
        <w:rPr>
          <w:spacing w:val="-2"/>
        </w:rPr>
        <w:t>[RFC2119].</w:t>
      </w:r>
    </w:p>
    <w:p>
      <w:pPr>
        <w:pStyle w:val="ListParagraph"/>
        <w:numPr>
          <w:ilvl w:val="0"/>
          <w:numId w:val="2"/>
        </w:numPr>
        <w:tabs>
          <w:tab w:pos="638" w:val="left" w:leader="none"/>
        </w:tabs>
        <w:spacing w:line="240" w:lineRule="auto" w:before="216" w:after="0"/>
        <w:ind w:left="638" w:right="0" w:hanging="478"/>
        <w:jc w:val="left"/>
        <w:rPr>
          <w:sz w:val="20"/>
        </w:rPr>
      </w:pPr>
      <w:r>
        <w:rPr>
          <w:sz w:val="20"/>
        </w:rPr>
        <w:t>UUID</w:t>
      </w:r>
      <w:r>
        <w:rPr>
          <w:spacing w:val="-5"/>
          <w:sz w:val="20"/>
        </w:rPr>
        <w:t> </w:t>
      </w:r>
      <w:r>
        <w:rPr>
          <w:sz w:val="20"/>
        </w:rPr>
        <w:t>Schema</w:t>
      </w:r>
      <w:r>
        <w:rPr>
          <w:spacing w:val="-5"/>
          <w:sz w:val="20"/>
        </w:rPr>
        <w:t> </w:t>
      </w:r>
      <w:r>
        <w:rPr>
          <w:spacing w:val="-2"/>
          <w:sz w:val="20"/>
        </w:rPr>
        <w:t>Elements</w:t>
      </w:r>
    </w:p>
    <w:p>
      <w:pPr>
        <w:pStyle w:val="ListParagraph"/>
        <w:numPr>
          <w:ilvl w:val="1"/>
          <w:numId w:val="2"/>
        </w:numPr>
        <w:tabs>
          <w:tab w:pos="876" w:val="left" w:leader="none"/>
        </w:tabs>
        <w:spacing w:line="240" w:lineRule="auto" w:before="213" w:after="0"/>
        <w:ind w:left="876" w:right="0" w:hanging="716"/>
        <w:jc w:val="left"/>
        <w:rPr>
          <w:sz w:val="20"/>
        </w:rPr>
      </w:pPr>
      <w:r>
        <w:rPr>
          <w:sz w:val="20"/>
        </w:rPr>
        <w:t>UUID</w:t>
      </w:r>
      <w:r>
        <w:rPr>
          <w:spacing w:val="-4"/>
          <w:sz w:val="20"/>
        </w:rPr>
        <w:t> </w:t>
      </w:r>
      <w:r>
        <w:rPr>
          <w:spacing w:val="-2"/>
          <w:sz w:val="20"/>
        </w:rPr>
        <w:t>Syntax</w:t>
      </w:r>
    </w:p>
    <w:p>
      <w:pPr>
        <w:pStyle w:val="BodyText"/>
        <w:spacing w:line="232" w:lineRule="auto" w:before="219"/>
        <w:ind w:right="199"/>
      </w:pPr>
      <w:r>
        <w:rPr/>
        <w:t>A Universally Unique Identifier (UUID) [RFC4122] is a 16-octet (128-bit)</w:t>
      </w:r>
      <w:r>
        <w:rPr>
          <w:spacing w:val="-4"/>
        </w:rPr>
        <w:t> </w:t>
      </w:r>
      <w:r>
        <w:rPr/>
        <w:t>value</w:t>
      </w:r>
      <w:r>
        <w:rPr>
          <w:spacing w:val="-4"/>
        </w:rPr>
        <w:t> </w:t>
      </w:r>
      <w:r>
        <w:rPr/>
        <w:t>that</w:t>
      </w:r>
      <w:r>
        <w:rPr>
          <w:spacing w:val="-4"/>
        </w:rPr>
        <w:t> </w:t>
      </w:r>
      <w:r>
        <w:rPr/>
        <w:t>identifies</w:t>
      </w:r>
      <w:r>
        <w:rPr>
          <w:spacing w:val="-4"/>
        </w:rPr>
        <w:t> </w:t>
      </w:r>
      <w:r>
        <w:rPr/>
        <w:t>an</w:t>
      </w:r>
      <w:r>
        <w:rPr>
          <w:spacing w:val="-4"/>
        </w:rPr>
        <w:t> </w:t>
      </w:r>
      <w:r>
        <w:rPr/>
        <w:t>object.</w:t>
      </w:r>
      <w:r>
        <w:rPr>
          <w:spacing w:val="80"/>
        </w:rPr>
        <w:t> </w:t>
      </w:r>
      <w:r>
        <w:rPr/>
        <w:t>The</w:t>
      </w:r>
      <w:r>
        <w:rPr>
          <w:spacing w:val="-4"/>
        </w:rPr>
        <w:t> </w:t>
      </w:r>
      <w:r>
        <w:rPr/>
        <w:t>ASN.1</w:t>
      </w:r>
      <w:r>
        <w:rPr>
          <w:spacing w:val="-4"/>
        </w:rPr>
        <w:t> </w:t>
      </w:r>
      <w:r>
        <w:rPr/>
        <w:t>[X.680]</w:t>
      </w:r>
      <w:r>
        <w:rPr>
          <w:spacing w:val="-4"/>
        </w:rPr>
        <w:t> </w:t>
      </w:r>
      <w:r>
        <w:rPr/>
        <w:t>type</w:t>
      </w:r>
      <w:r>
        <w:rPr>
          <w:spacing w:val="-4"/>
        </w:rPr>
        <w:t> </w:t>
      </w:r>
      <w:r>
        <w:rPr/>
        <w:t>UUID</w:t>
      </w:r>
      <w:r>
        <w:rPr>
          <w:spacing w:val="-4"/>
        </w:rPr>
        <w:t> </w:t>
      </w:r>
      <w:r>
        <w:rPr/>
        <w:t>is defined to represent UUIDs as follows:</w:t>
      </w:r>
    </w:p>
    <w:p>
      <w:pPr>
        <w:pStyle w:val="BodyText"/>
        <w:spacing w:line="223" w:lineRule="exact" w:before="215"/>
        <w:ind w:left="1000"/>
      </w:pPr>
      <w:r>
        <w:rPr/>
        <w:t>UUID</w:t>
      </w:r>
      <w:r>
        <w:rPr>
          <w:spacing w:val="-5"/>
        </w:rPr>
        <w:t> </w:t>
      </w:r>
      <w:r>
        <w:rPr/>
        <w:t>::=</w:t>
      </w:r>
      <w:r>
        <w:rPr>
          <w:spacing w:val="-4"/>
        </w:rPr>
        <w:t> </w:t>
      </w:r>
      <w:r>
        <w:rPr/>
        <w:t>OCTET</w:t>
      </w:r>
      <w:r>
        <w:rPr>
          <w:spacing w:val="-5"/>
        </w:rPr>
        <w:t> </w:t>
      </w:r>
      <w:r>
        <w:rPr/>
        <w:t>STRING</w:t>
      </w:r>
      <w:r>
        <w:rPr>
          <w:spacing w:val="-4"/>
        </w:rPr>
        <w:t> </w:t>
      </w:r>
      <w:r>
        <w:rPr>
          <w:spacing w:val="-2"/>
        </w:rPr>
        <w:t>(SIZE(16))</w:t>
      </w:r>
    </w:p>
    <w:p>
      <w:pPr>
        <w:pStyle w:val="BodyText"/>
        <w:spacing w:line="223" w:lineRule="exact"/>
        <w:ind w:left="1720"/>
      </w:pPr>
      <w:r>
        <w:rPr/>
        <w:t>--</w:t>
      </w:r>
      <w:r>
        <w:rPr>
          <w:spacing w:val="-5"/>
        </w:rPr>
        <w:t> </w:t>
      </w:r>
      <w:r>
        <w:rPr/>
        <w:t>constrained</w:t>
      </w:r>
      <w:r>
        <w:rPr>
          <w:spacing w:val="-4"/>
        </w:rPr>
        <w:t> </w:t>
      </w:r>
      <w:r>
        <w:rPr/>
        <w:t>to</w:t>
      </w:r>
      <w:r>
        <w:rPr>
          <w:spacing w:val="-4"/>
        </w:rPr>
        <w:t> </w:t>
      </w:r>
      <w:r>
        <w:rPr/>
        <w:t>an</w:t>
      </w:r>
      <w:r>
        <w:rPr>
          <w:spacing w:val="-4"/>
        </w:rPr>
        <w:t> </w:t>
      </w:r>
      <w:r>
        <w:rPr/>
        <w:t>UUID</w:t>
      </w:r>
      <w:r>
        <w:rPr>
          <w:spacing w:val="-4"/>
        </w:rPr>
        <w:t> </w:t>
      </w:r>
      <w:r>
        <w:rPr>
          <w:spacing w:val="-2"/>
        </w:rPr>
        <w:t>[RFC4122]</w:t>
      </w:r>
    </w:p>
    <w:p>
      <w:pPr>
        <w:pStyle w:val="BodyText"/>
        <w:spacing w:line="232" w:lineRule="auto" w:before="219"/>
      </w:pPr>
      <w:r>
        <w:rPr/>
        <w:t>In</w:t>
      </w:r>
      <w:r>
        <w:rPr>
          <w:spacing w:val="-5"/>
        </w:rPr>
        <w:t> </w:t>
      </w:r>
      <w:r>
        <w:rPr/>
        <w:t>LDAP,</w:t>
      </w:r>
      <w:r>
        <w:rPr>
          <w:spacing w:val="-5"/>
        </w:rPr>
        <w:t> </w:t>
      </w:r>
      <w:r>
        <w:rPr/>
        <w:t>UUID</w:t>
      </w:r>
      <w:r>
        <w:rPr>
          <w:spacing w:val="-5"/>
        </w:rPr>
        <w:t> </w:t>
      </w:r>
      <w:r>
        <w:rPr/>
        <w:t>values</w:t>
      </w:r>
      <w:r>
        <w:rPr>
          <w:spacing w:val="-5"/>
        </w:rPr>
        <w:t> </w:t>
      </w:r>
      <w:r>
        <w:rPr/>
        <w:t>are</w:t>
      </w:r>
      <w:r>
        <w:rPr>
          <w:spacing w:val="-5"/>
        </w:rPr>
        <w:t> </w:t>
      </w:r>
      <w:r>
        <w:rPr/>
        <w:t>encoded</w:t>
      </w:r>
      <w:r>
        <w:rPr>
          <w:spacing w:val="-5"/>
        </w:rPr>
        <w:t> </w:t>
      </w:r>
      <w:r>
        <w:rPr/>
        <w:t>using</w:t>
      </w:r>
      <w:r>
        <w:rPr>
          <w:spacing w:val="-5"/>
        </w:rPr>
        <w:t> </w:t>
      </w:r>
      <w:r>
        <w:rPr/>
        <w:t>the</w:t>
      </w:r>
      <w:r>
        <w:rPr>
          <w:spacing w:val="-5"/>
        </w:rPr>
        <w:t> </w:t>
      </w:r>
      <w:r>
        <w:rPr/>
        <w:t>[ASCII]</w:t>
      </w:r>
      <w:r>
        <w:rPr>
          <w:spacing w:val="-5"/>
        </w:rPr>
        <w:t> </w:t>
      </w:r>
      <w:r>
        <w:rPr/>
        <w:t>character</w:t>
      </w:r>
      <w:r>
        <w:rPr>
          <w:spacing w:val="-5"/>
        </w:rPr>
        <w:t> </w:t>
      </w:r>
      <w:r>
        <w:rPr/>
        <w:t>string representation described in [RFC4122].</w:t>
      </w:r>
      <w:r>
        <w:rPr>
          <w:spacing w:val="80"/>
        </w:rPr>
        <w:t> </w:t>
      </w:r>
      <w:r>
        <w:rPr/>
        <w:t>For example,</w:t>
      </w:r>
    </w:p>
    <w:p>
      <w:pPr>
        <w:pStyle w:val="BodyText"/>
        <w:spacing w:line="222" w:lineRule="exact"/>
      </w:pPr>
      <w:r>
        <w:rPr>
          <w:spacing w:val="-2"/>
        </w:rPr>
        <w:t>"597ae2f6-16a6-1027-98f4-d28b5365dc14".</w:t>
      </w:r>
    </w:p>
    <w:p>
      <w:pPr>
        <w:pStyle w:val="BodyText"/>
        <w:spacing w:line="232" w:lineRule="auto" w:before="218"/>
        <w:ind w:right="294"/>
      </w:pPr>
      <w:r>
        <w:rPr/>
        <w:t>The</w:t>
      </w:r>
      <w:r>
        <w:rPr>
          <w:spacing w:val="-5"/>
        </w:rPr>
        <w:t> </w:t>
      </w:r>
      <w:r>
        <w:rPr/>
        <w:t>following</w:t>
      </w:r>
      <w:r>
        <w:rPr>
          <w:spacing w:val="-5"/>
        </w:rPr>
        <w:t> </w:t>
      </w:r>
      <w:r>
        <w:rPr/>
        <w:t>is</w:t>
      </w:r>
      <w:r>
        <w:rPr>
          <w:spacing w:val="-5"/>
        </w:rPr>
        <w:t> </w:t>
      </w:r>
      <w:r>
        <w:rPr/>
        <w:t>an</w:t>
      </w:r>
      <w:r>
        <w:rPr>
          <w:spacing w:val="-5"/>
        </w:rPr>
        <w:t> </w:t>
      </w:r>
      <w:r>
        <w:rPr/>
        <w:t>LDAP</w:t>
      </w:r>
      <w:r>
        <w:rPr>
          <w:spacing w:val="-5"/>
        </w:rPr>
        <w:t> </w:t>
      </w:r>
      <w:r>
        <w:rPr/>
        <w:t>syntax</w:t>
      </w:r>
      <w:r>
        <w:rPr>
          <w:spacing w:val="-5"/>
        </w:rPr>
        <w:t> </w:t>
      </w:r>
      <w:r>
        <w:rPr/>
        <w:t>description</w:t>
      </w:r>
      <w:r>
        <w:rPr>
          <w:spacing w:val="-5"/>
        </w:rPr>
        <w:t> </w:t>
      </w:r>
      <w:r>
        <w:rPr/>
        <w:t>suitable</w:t>
      </w:r>
      <w:r>
        <w:rPr>
          <w:spacing w:val="-5"/>
        </w:rPr>
        <w:t> </w:t>
      </w:r>
      <w:r>
        <w:rPr/>
        <w:t>for</w:t>
      </w:r>
      <w:r>
        <w:rPr>
          <w:spacing w:val="-5"/>
        </w:rPr>
        <w:t> </w:t>
      </w:r>
      <w:r>
        <w:rPr/>
        <w:t>publication in subschema subentries.</w:t>
      </w:r>
    </w:p>
    <w:p>
      <w:pPr>
        <w:pStyle w:val="BodyText"/>
        <w:spacing w:before="216"/>
        <w:ind w:left="1000"/>
      </w:pPr>
      <w:r>
        <w:rPr/>
        <w:t>(</w:t>
      </w:r>
      <w:r>
        <w:rPr>
          <w:spacing w:val="-7"/>
        </w:rPr>
        <w:t> </w:t>
      </w:r>
      <w:r>
        <w:rPr/>
        <w:t>1.3.6.1.1.16.1</w:t>
      </w:r>
      <w:r>
        <w:rPr>
          <w:spacing w:val="-6"/>
        </w:rPr>
        <w:t> </w:t>
      </w:r>
      <w:r>
        <w:rPr/>
        <w:t>DESC</w:t>
      </w:r>
      <w:r>
        <w:rPr>
          <w:spacing w:val="-6"/>
        </w:rPr>
        <w:t> </w:t>
      </w:r>
      <w:r>
        <w:rPr/>
        <w:t>’UUID’</w:t>
      </w:r>
      <w:r>
        <w:rPr>
          <w:spacing w:val="-6"/>
        </w:rPr>
        <w:t> </w:t>
      </w:r>
      <w:r>
        <w:rPr>
          <w:spacing w:val="-10"/>
        </w:rPr>
        <w:t>)</w:t>
      </w:r>
    </w:p>
    <w:p>
      <w:pPr>
        <w:pStyle w:val="ListParagraph"/>
        <w:numPr>
          <w:ilvl w:val="1"/>
          <w:numId w:val="2"/>
        </w:numPr>
        <w:tabs>
          <w:tab w:pos="876" w:val="left" w:leader="none"/>
        </w:tabs>
        <w:spacing w:line="240" w:lineRule="auto" w:before="213" w:after="0"/>
        <w:ind w:left="876" w:right="0" w:hanging="716"/>
        <w:jc w:val="left"/>
        <w:rPr>
          <w:sz w:val="20"/>
        </w:rPr>
      </w:pPr>
      <w:r>
        <w:rPr>
          <w:sz w:val="20"/>
        </w:rPr>
        <w:t>’uuidMatch’</w:t>
      </w:r>
      <w:r>
        <w:rPr>
          <w:spacing w:val="-10"/>
          <w:sz w:val="20"/>
        </w:rPr>
        <w:t> </w:t>
      </w:r>
      <w:r>
        <w:rPr>
          <w:sz w:val="20"/>
        </w:rPr>
        <w:t>Matching</w:t>
      </w:r>
      <w:r>
        <w:rPr>
          <w:spacing w:val="-9"/>
          <w:sz w:val="20"/>
        </w:rPr>
        <w:t> </w:t>
      </w:r>
      <w:r>
        <w:rPr>
          <w:spacing w:val="-4"/>
          <w:sz w:val="20"/>
        </w:rPr>
        <w:t>Rule</w:t>
      </w:r>
    </w:p>
    <w:p>
      <w:pPr>
        <w:pStyle w:val="BodyText"/>
        <w:spacing w:line="232" w:lineRule="auto" w:before="218"/>
        <w:ind w:right="199"/>
      </w:pPr>
      <w:r>
        <w:rPr/>
        <w:t>The</w:t>
      </w:r>
      <w:r>
        <w:rPr>
          <w:spacing w:val="-5"/>
        </w:rPr>
        <w:t> </w:t>
      </w:r>
      <w:r>
        <w:rPr/>
        <w:t>’uuidMatch’</w:t>
      </w:r>
      <w:r>
        <w:rPr>
          <w:spacing w:val="-5"/>
        </w:rPr>
        <w:t> </w:t>
      </w:r>
      <w:r>
        <w:rPr/>
        <w:t>matching</w:t>
      </w:r>
      <w:r>
        <w:rPr>
          <w:spacing w:val="-5"/>
        </w:rPr>
        <w:t> </w:t>
      </w:r>
      <w:r>
        <w:rPr/>
        <w:t>rule</w:t>
      </w:r>
      <w:r>
        <w:rPr>
          <w:spacing w:val="-5"/>
        </w:rPr>
        <w:t> </w:t>
      </w:r>
      <w:r>
        <w:rPr/>
        <w:t>compares</w:t>
      </w:r>
      <w:r>
        <w:rPr>
          <w:spacing w:val="-5"/>
        </w:rPr>
        <w:t> </w:t>
      </w:r>
      <w:r>
        <w:rPr/>
        <w:t>an</w:t>
      </w:r>
      <w:r>
        <w:rPr>
          <w:spacing w:val="-5"/>
        </w:rPr>
        <w:t> </w:t>
      </w:r>
      <w:r>
        <w:rPr/>
        <w:t>asserted</w:t>
      </w:r>
      <w:r>
        <w:rPr>
          <w:spacing w:val="-5"/>
        </w:rPr>
        <w:t> </w:t>
      </w:r>
      <w:r>
        <w:rPr/>
        <w:t>UUID</w:t>
      </w:r>
      <w:r>
        <w:rPr>
          <w:spacing w:val="-5"/>
        </w:rPr>
        <w:t> </w:t>
      </w:r>
      <w:r>
        <w:rPr/>
        <w:t>with</w:t>
      </w:r>
      <w:r>
        <w:rPr>
          <w:spacing w:val="-5"/>
        </w:rPr>
        <w:t> </w:t>
      </w:r>
      <w:r>
        <w:rPr/>
        <w:t>a</w:t>
      </w:r>
      <w:r>
        <w:rPr>
          <w:spacing w:val="-5"/>
        </w:rPr>
        <w:t> </w:t>
      </w:r>
      <w:r>
        <w:rPr/>
        <w:t>stored UUID for equality.</w:t>
      </w:r>
      <w:r>
        <w:rPr>
          <w:spacing w:val="80"/>
        </w:rPr>
        <w:t> </w:t>
      </w:r>
      <w:r>
        <w:rPr/>
        <w:t>Its semantics are the same as the ’octetStringMatch’ [X.520][RFC4517] matching rule.</w:t>
      </w:r>
      <w:r>
        <w:rPr>
          <w:spacing w:val="80"/>
        </w:rPr>
        <w:t> </w:t>
      </w:r>
      <w:r>
        <w:rPr/>
        <w:t>The rule differs from ’octetStringMatch’ in that the assertion value is encoded using the UUID string representation instead of the normal OCTET STRING string representation.</w:t>
      </w:r>
    </w:p>
    <w:p>
      <w:pPr>
        <w:pStyle w:val="BodyText"/>
        <w:spacing w:line="232" w:lineRule="auto" w:before="222"/>
      </w:pPr>
      <w:r>
        <w:rPr/>
        <w:t>The</w:t>
      </w:r>
      <w:r>
        <w:rPr>
          <w:spacing w:val="-5"/>
        </w:rPr>
        <w:t> </w:t>
      </w:r>
      <w:r>
        <w:rPr/>
        <w:t>following</w:t>
      </w:r>
      <w:r>
        <w:rPr>
          <w:spacing w:val="-5"/>
        </w:rPr>
        <w:t> </w:t>
      </w:r>
      <w:r>
        <w:rPr/>
        <w:t>is</w:t>
      </w:r>
      <w:r>
        <w:rPr>
          <w:spacing w:val="-5"/>
        </w:rPr>
        <w:t> </w:t>
      </w:r>
      <w:r>
        <w:rPr/>
        <w:t>an</w:t>
      </w:r>
      <w:r>
        <w:rPr>
          <w:spacing w:val="-5"/>
        </w:rPr>
        <w:t> </w:t>
      </w:r>
      <w:r>
        <w:rPr/>
        <w:t>LDAP</w:t>
      </w:r>
      <w:r>
        <w:rPr>
          <w:spacing w:val="-5"/>
        </w:rPr>
        <w:t> </w:t>
      </w:r>
      <w:r>
        <w:rPr/>
        <w:t>matching</w:t>
      </w:r>
      <w:r>
        <w:rPr>
          <w:spacing w:val="-5"/>
        </w:rPr>
        <w:t> </w:t>
      </w:r>
      <w:r>
        <w:rPr/>
        <w:t>rule</w:t>
      </w:r>
      <w:r>
        <w:rPr>
          <w:spacing w:val="-5"/>
        </w:rPr>
        <w:t> </w:t>
      </w:r>
      <w:r>
        <w:rPr/>
        <w:t>description</w:t>
      </w:r>
      <w:r>
        <w:rPr>
          <w:spacing w:val="-5"/>
        </w:rPr>
        <w:t> </w:t>
      </w:r>
      <w:r>
        <w:rPr/>
        <w:t>suitable</w:t>
      </w:r>
      <w:r>
        <w:rPr>
          <w:spacing w:val="-5"/>
        </w:rPr>
        <w:t> </w:t>
      </w:r>
      <w:r>
        <w:rPr/>
        <w:t>for publication in subschema subentries.</w:t>
      </w:r>
    </w:p>
    <w:p>
      <w:pPr>
        <w:pStyle w:val="BodyText"/>
        <w:spacing w:line="232" w:lineRule="auto" w:before="220"/>
        <w:ind w:left="1480" w:right="3939" w:hanging="480"/>
      </w:pPr>
      <w:r>
        <w:rPr/>
        <w:t>(</w:t>
      </w:r>
      <w:r>
        <w:rPr>
          <w:spacing w:val="-14"/>
        </w:rPr>
        <w:t> </w:t>
      </w:r>
      <w:r>
        <w:rPr/>
        <w:t>1.3.6.1.1.16.2</w:t>
      </w:r>
      <w:r>
        <w:rPr>
          <w:spacing w:val="-14"/>
        </w:rPr>
        <w:t> </w:t>
      </w:r>
      <w:r>
        <w:rPr/>
        <w:t>NAME</w:t>
      </w:r>
      <w:r>
        <w:rPr>
          <w:spacing w:val="-14"/>
        </w:rPr>
        <w:t> </w:t>
      </w:r>
      <w:r>
        <w:rPr/>
        <w:t>’uuidMatch’ SYNTAX 1.3.6.1.1.16.1 )</w:t>
      </w:r>
    </w:p>
    <w:p>
      <w:pPr>
        <w:pStyle w:val="ListParagraph"/>
        <w:numPr>
          <w:ilvl w:val="1"/>
          <w:numId w:val="2"/>
        </w:numPr>
        <w:tabs>
          <w:tab w:pos="876" w:val="left" w:leader="none"/>
        </w:tabs>
        <w:spacing w:line="240" w:lineRule="auto" w:before="216" w:after="0"/>
        <w:ind w:left="876" w:right="0" w:hanging="716"/>
        <w:jc w:val="left"/>
        <w:rPr>
          <w:sz w:val="20"/>
        </w:rPr>
      </w:pPr>
      <w:r>
        <w:rPr>
          <w:sz w:val="20"/>
        </w:rPr>
        <w:t>’uuidOrderingMatch’</w:t>
      </w:r>
      <w:r>
        <w:rPr>
          <w:spacing w:val="-14"/>
          <w:sz w:val="20"/>
        </w:rPr>
        <w:t> </w:t>
      </w:r>
      <w:r>
        <w:rPr>
          <w:sz w:val="20"/>
        </w:rPr>
        <w:t>Matching</w:t>
      </w:r>
      <w:r>
        <w:rPr>
          <w:spacing w:val="-13"/>
          <w:sz w:val="20"/>
        </w:rPr>
        <w:t> </w:t>
      </w:r>
      <w:r>
        <w:rPr>
          <w:spacing w:val="-4"/>
          <w:sz w:val="20"/>
        </w:rPr>
        <w:t>Rule</w:t>
      </w:r>
    </w:p>
    <w:p>
      <w:pPr>
        <w:pStyle w:val="BodyText"/>
        <w:spacing w:line="232" w:lineRule="auto" w:before="218"/>
        <w:ind w:right="199"/>
      </w:pPr>
      <w:r>
        <w:rPr/>
        <w:t>The ’uuidOrderingMatch’ matching rule compares an asserted UUID with a stored UUID for ordering.</w:t>
      </w:r>
      <w:r>
        <w:rPr>
          <w:spacing w:val="80"/>
        </w:rPr>
        <w:t> </w:t>
      </w:r>
      <w:r>
        <w:rPr/>
        <w:t>Its semantics are the same as the ’octetStringOrderingMatch’ [X.520][RFC4517] matching rule.</w:t>
      </w:r>
      <w:r>
        <w:rPr>
          <w:spacing w:val="80"/>
        </w:rPr>
        <w:t> </w:t>
      </w:r>
      <w:r>
        <w:rPr/>
        <w:t>The rule differs from ’octetStringOrderingMatch’ in that the assertion value is</w:t>
      </w:r>
      <w:r>
        <w:rPr>
          <w:spacing w:val="-5"/>
        </w:rPr>
        <w:t> </w:t>
      </w:r>
      <w:r>
        <w:rPr/>
        <w:t>encoded</w:t>
      </w:r>
      <w:r>
        <w:rPr>
          <w:spacing w:val="-5"/>
        </w:rPr>
        <w:t> </w:t>
      </w:r>
      <w:r>
        <w:rPr/>
        <w:t>using</w:t>
      </w:r>
      <w:r>
        <w:rPr>
          <w:spacing w:val="-5"/>
        </w:rPr>
        <w:t> </w:t>
      </w:r>
      <w:r>
        <w:rPr/>
        <w:t>the</w:t>
      </w:r>
      <w:r>
        <w:rPr>
          <w:spacing w:val="-5"/>
        </w:rPr>
        <w:t> </w:t>
      </w:r>
      <w:r>
        <w:rPr/>
        <w:t>UUID</w:t>
      </w:r>
      <w:r>
        <w:rPr>
          <w:spacing w:val="-5"/>
        </w:rPr>
        <w:t> </w:t>
      </w:r>
      <w:r>
        <w:rPr/>
        <w:t>string</w:t>
      </w:r>
      <w:r>
        <w:rPr>
          <w:spacing w:val="-5"/>
        </w:rPr>
        <w:t> </w:t>
      </w:r>
      <w:r>
        <w:rPr/>
        <w:t>representation</w:t>
      </w:r>
      <w:r>
        <w:rPr>
          <w:spacing w:val="-5"/>
        </w:rPr>
        <w:t> </w:t>
      </w:r>
      <w:r>
        <w:rPr/>
        <w:t>instead</w:t>
      </w:r>
      <w:r>
        <w:rPr>
          <w:spacing w:val="-5"/>
        </w:rPr>
        <w:t> </w:t>
      </w:r>
      <w:r>
        <w:rPr/>
        <w:t>of</w:t>
      </w:r>
      <w:r>
        <w:rPr>
          <w:spacing w:val="-5"/>
        </w:rPr>
        <w:t> </w:t>
      </w:r>
      <w:r>
        <w:rPr/>
        <w:t>the</w:t>
      </w:r>
      <w:r>
        <w:rPr>
          <w:spacing w:val="-5"/>
        </w:rPr>
        <w:t> </w:t>
      </w:r>
      <w:r>
        <w:rPr/>
        <w:t>normal OCTET STRING string representation.</w:t>
      </w:r>
    </w:p>
    <w:p>
      <w:pPr>
        <w:pStyle w:val="BodyText"/>
        <w:spacing w:after="0" w:line="232" w:lineRule="auto"/>
        <w:sectPr>
          <w:pgSz w:w="12240" w:h="15840"/>
          <w:pgMar w:header="793" w:footer="2967" w:top="1360" w:bottom="3160" w:left="1440" w:right="1800"/>
        </w:sectPr>
      </w:pPr>
    </w:p>
    <w:p>
      <w:pPr>
        <w:pStyle w:val="BodyText"/>
        <w:spacing w:line="232" w:lineRule="auto" w:before="95"/>
      </w:pPr>
      <w:r>
        <w:rPr/>
        <w:t>The</w:t>
      </w:r>
      <w:r>
        <w:rPr>
          <w:spacing w:val="-5"/>
        </w:rPr>
        <w:t> </w:t>
      </w:r>
      <w:r>
        <w:rPr/>
        <w:t>following</w:t>
      </w:r>
      <w:r>
        <w:rPr>
          <w:spacing w:val="-5"/>
        </w:rPr>
        <w:t> </w:t>
      </w:r>
      <w:r>
        <w:rPr/>
        <w:t>is</w:t>
      </w:r>
      <w:r>
        <w:rPr>
          <w:spacing w:val="-5"/>
        </w:rPr>
        <w:t> </w:t>
      </w:r>
      <w:r>
        <w:rPr/>
        <w:t>an</w:t>
      </w:r>
      <w:r>
        <w:rPr>
          <w:spacing w:val="-5"/>
        </w:rPr>
        <w:t> </w:t>
      </w:r>
      <w:r>
        <w:rPr/>
        <w:t>LDAP</w:t>
      </w:r>
      <w:r>
        <w:rPr>
          <w:spacing w:val="-5"/>
        </w:rPr>
        <w:t> </w:t>
      </w:r>
      <w:r>
        <w:rPr/>
        <w:t>matching</w:t>
      </w:r>
      <w:r>
        <w:rPr>
          <w:spacing w:val="-5"/>
        </w:rPr>
        <w:t> </w:t>
      </w:r>
      <w:r>
        <w:rPr/>
        <w:t>rule</w:t>
      </w:r>
      <w:r>
        <w:rPr>
          <w:spacing w:val="-5"/>
        </w:rPr>
        <w:t> </w:t>
      </w:r>
      <w:r>
        <w:rPr/>
        <w:t>description</w:t>
      </w:r>
      <w:r>
        <w:rPr>
          <w:spacing w:val="-5"/>
        </w:rPr>
        <w:t> </w:t>
      </w:r>
      <w:r>
        <w:rPr/>
        <w:t>suitable</w:t>
      </w:r>
      <w:r>
        <w:rPr>
          <w:spacing w:val="-5"/>
        </w:rPr>
        <w:t> </w:t>
      </w:r>
      <w:r>
        <w:rPr/>
        <w:t>for publication in subschema subentries.</w:t>
      </w:r>
    </w:p>
    <w:p>
      <w:pPr>
        <w:pStyle w:val="BodyText"/>
        <w:spacing w:line="232" w:lineRule="auto" w:before="220"/>
        <w:ind w:left="1480" w:right="2599" w:hanging="480"/>
      </w:pPr>
      <w:r>
        <w:rPr/>
        <w:t>(</w:t>
      </w:r>
      <w:r>
        <w:rPr>
          <w:spacing w:val="-14"/>
        </w:rPr>
        <w:t> </w:t>
      </w:r>
      <w:r>
        <w:rPr/>
        <w:t>1.3.6.1.1.16.3</w:t>
      </w:r>
      <w:r>
        <w:rPr>
          <w:spacing w:val="-14"/>
        </w:rPr>
        <w:t> </w:t>
      </w:r>
      <w:r>
        <w:rPr/>
        <w:t>NAME</w:t>
      </w:r>
      <w:r>
        <w:rPr>
          <w:spacing w:val="-14"/>
        </w:rPr>
        <w:t> </w:t>
      </w:r>
      <w:r>
        <w:rPr/>
        <w:t>’uuidOrderingMatch’ SYNTAX 1.3.6.1.1.16.1 )</w:t>
      </w:r>
    </w:p>
    <w:p>
      <w:pPr>
        <w:pStyle w:val="BodyText"/>
        <w:spacing w:line="232" w:lineRule="auto" w:before="221"/>
        <w:ind w:right="294"/>
      </w:pPr>
      <w:r>
        <w:rPr/>
        <w:t>Note that not all UUID variants have a defined ordering; and even where it does, servers are not obligated to assign UUIDs in any particular</w:t>
      </w:r>
      <w:r>
        <w:rPr>
          <w:spacing w:val="-5"/>
        </w:rPr>
        <w:t> </w:t>
      </w:r>
      <w:r>
        <w:rPr/>
        <w:t>order.</w:t>
      </w:r>
      <w:r>
        <w:rPr>
          <w:spacing w:val="80"/>
        </w:rPr>
        <w:t> </w:t>
      </w:r>
      <w:r>
        <w:rPr/>
        <w:t>This</w:t>
      </w:r>
      <w:r>
        <w:rPr>
          <w:spacing w:val="-5"/>
        </w:rPr>
        <w:t> </w:t>
      </w:r>
      <w:r>
        <w:rPr/>
        <w:t>matching</w:t>
      </w:r>
      <w:r>
        <w:rPr>
          <w:spacing w:val="-5"/>
        </w:rPr>
        <w:t> </w:t>
      </w:r>
      <w:r>
        <w:rPr/>
        <w:t>rule</w:t>
      </w:r>
      <w:r>
        <w:rPr>
          <w:spacing w:val="-5"/>
        </w:rPr>
        <w:t> </w:t>
      </w:r>
      <w:r>
        <w:rPr/>
        <w:t>is</w:t>
      </w:r>
      <w:r>
        <w:rPr>
          <w:spacing w:val="-5"/>
        </w:rPr>
        <w:t> </w:t>
      </w:r>
      <w:r>
        <w:rPr/>
        <w:t>provided</w:t>
      </w:r>
      <w:r>
        <w:rPr>
          <w:spacing w:val="-5"/>
        </w:rPr>
        <w:t> </w:t>
      </w:r>
      <w:r>
        <w:rPr/>
        <w:t>for</w:t>
      </w:r>
      <w:r>
        <w:rPr>
          <w:spacing w:val="-5"/>
        </w:rPr>
        <w:t> </w:t>
      </w:r>
      <w:r>
        <w:rPr/>
        <w:t>completeness.</w:t>
      </w:r>
    </w:p>
    <w:p>
      <w:pPr>
        <w:pStyle w:val="ListParagraph"/>
        <w:numPr>
          <w:ilvl w:val="1"/>
          <w:numId w:val="2"/>
        </w:numPr>
        <w:tabs>
          <w:tab w:pos="876" w:val="left" w:leader="none"/>
        </w:tabs>
        <w:spacing w:line="240" w:lineRule="auto" w:before="215" w:after="0"/>
        <w:ind w:left="876" w:right="0" w:hanging="716"/>
        <w:jc w:val="left"/>
        <w:rPr>
          <w:sz w:val="20"/>
        </w:rPr>
      </w:pPr>
      <w:r>
        <w:rPr>
          <w:sz w:val="20"/>
        </w:rPr>
        <w:t>’entryUUID’</w:t>
      </w:r>
      <w:r>
        <w:rPr>
          <w:spacing w:val="-11"/>
          <w:sz w:val="20"/>
        </w:rPr>
        <w:t> </w:t>
      </w:r>
      <w:r>
        <w:rPr>
          <w:spacing w:val="-2"/>
          <w:sz w:val="20"/>
        </w:rPr>
        <w:t>Attribute</w:t>
      </w:r>
    </w:p>
    <w:p>
      <w:pPr>
        <w:pStyle w:val="BodyText"/>
        <w:spacing w:line="232" w:lineRule="auto" w:before="219"/>
        <w:ind w:right="199"/>
      </w:pPr>
      <w:r>
        <w:rPr/>
        <w:t>The</w:t>
      </w:r>
      <w:r>
        <w:rPr>
          <w:spacing w:val="-6"/>
        </w:rPr>
        <w:t> </w:t>
      </w:r>
      <w:r>
        <w:rPr/>
        <w:t>’entryUUID’</w:t>
      </w:r>
      <w:r>
        <w:rPr>
          <w:spacing w:val="-6"/>
        </w:rPr>
        <w:t> </w:t>
      </w:r>
      <w:r>
        <w:rPr/>
        <w:t>operational</w:t>
      </w:r>
      <w:r>
        <w:rPr>
          <w:spacing w:val="-6"/>
        </w:rPr>
        <w:t> </w:t>
      </w:r>
      <w:r>
        <w:rPr/>
        <w:t>attribute</w:t>
      </w:r>
      <w:r>
        <w:rPr>
          <w:spacing w:val="-6"/>
        </w:rPr>
        <w:t> </w:t>
      </w:r>
      <w:r>
        <w:rPr/>
        <w:t>provides</w:t>
      </w:r>
      <w:r>
        <w:rPr>
          <w:spacing w:val="-6"/>
        </w:rPr>
        <w:t> </w:t>
      </w:r>
      <w:r>
        <w:rPr/>
        <w:t>the</w:t>
      </w:r>
      <w:r>
        <w:rPr>
          <w:spacing w:val="-6"/>
        </w:rPr>
        <w:t> </w:t>
      </w:r>
      <w:r>
        <w:rPr/>
        <w:t>Universally</w:t>
      </w:r>
      <w:r>
        <w:rPr>
          <w:spacing w:val="-6"/>
        </w:rPr>
        <w:t> </w:t>
      </w:r>
      <w:r>
        <w:rPr/>
        <w:t>Unique Identifier (UUID) assigned to the entry.</w:t>
      </w:r>
    </w:p>
    <w:p>
      <w:pPr>
        <w:pStyle w:val="BodyText"/>
        <w:spacing w:line="232" w:lineRule="auto" w:before="220"/>
      </w:pPr>
      <w:r>
        <w:rPr/>
        <w:t>The</w:t>
      </w:r>
      <w:r>
        <w:rPr>
          <w:spacing w:val="-5"/>
        </w:rPr>
        <w:t> </w:t>
      </w:r>
      <w:r>
        <w:rPr/>
        <w:t>following</w:t>
      </w:r>
      <w:r>
        <w:rPr>
          <w:spacing w:val="-5"/>
        </w:rPr>
        <w:t> </w:t>
      </w:r>
      <w:r>
        <w:rPr/>
        <w:t>is</w:t>
      </w:r>
      <w:r>
        <w:rPr>
          <w:spacing w:val="-5"/>
        </w:rPr>
        <w:t> </w:t>
      </w:r>
      <w:r>
        <w:rPr/>
        <w:t>an</w:t>
      </w:r>
      <w:r>
        <w:rPr>
          <w:spacing w:val="-5"/>
        </w:rPr>
        <w:t> </w:t>
      </w:r>
      <w:r>
        <w:rPr/>
        <w:t>LDAP</w:t>
      </w:r>
      <w:r>
        <w:rPr>
          <w:spacing w:val="-5"/>
        </w:rPr>
        <w:t> </w:t>
      </w:r>
      <w:r>
        <w:rPr/>
        <w:t>attribute</w:t>
      </w:r>
      <w:r>
        <w:rPr>
          <w:spacing w:val="-5"/>
        </w:rPr>
        <w:t> </w:t>
      </w:r>
      <w:r>
        <w:rPr/>
        <w:t>type</w:t>
      </w:r>
      <w:r>
        <w:rPr>
          <w:spacing w:val="-5"/>
        </w:rPr>
        <w:t> </w:t>
      </w:r>
      <w:r>
        <w:rPr/>
        <w:t>description</w:t>
      </w:r>
      <w:r>
        <w:rPr>
          <w:spacing w:val="-5"/>
        </w:rPr>
        <w:t> </w:t>
      </w:r>
      <w:r>
        <w:rPr/>
        <w:t>suitable</w:t>
      </w:r>
      <w:r>
        <w:rPr>
          <w:spacing w:val="-5"/>
        </w:rPr>
        <w:t> </w:t>
      </w:r>
      <w:r>
        <w:rPr/>
        <w:t>for publication in subschema subentries.</w:t>
      </w:r>
    </w:p>
    <w:p>
      <w:pPr>
        <w:pStyle w:val="BodyText"/>
        <w:spacing w:line="223" w:lineRule="exact" w:before="216"/>
        <w:ind w:left="1000"/>
      </w:pPr>
      <w:r>
        <w:rPr/>
        <w:t>(</w:t>
      </w:r>
      <w:r>
        <w:rPr>
          <w:spacing w:val="-7"/>
        </w:rPr>
        <w:t> </w:t>
      </w:r>
      <w:r>
        <w:rPr/>
        <w:t>1.3.6.1.1.16.4</w:t>
      </w:r>
      <w:r>
        <w:rPr>
          <w:spacing w:val="-6"/>
        </w:rPr>
        <w:t> </w:t>
      </w:r>
      <w:r>
        <w:rPr/>
        <w:t>NAME</w:t>
      </w:r>
      <w:r>
        <w:rPr>
          <w:spacing w:val="-6"/>
        </w:rPr>
        <w:t> </w:t>
      </w:r>
      <w:r>
        <w:rPr>
          <w:spacing w:val="-2"/>
        </w:rPr>
        <w:t>’entryUUID’</w:t>
      </w:r>
    </w:p>
    <w:p>
      <w:pPr>
        <w:pStyle w:val="BodyText"/>
        <w:spacing w:line="232" w:lineRule="auto" w:before="1"/>
        <w:ind w:left="1480" w:right="4399"/>
      </w:pPr>
      <w:r>
        <w:rPr/>
        <w:t>DESC ’UUID of the entry’ EQUALITY uuidMatch ORDERING</w:t>
      </w:r>
      <w:r>
        <w:rPr>
          <w:spacing w:val="-32"/>
        </w:rPr>
        <w:t> </w:t>
      </w:r>
      <w:r>
        <w:rPr/>
        <w:t>uuidOrderingMatch SYNTAX 1.3.6.1.1.16.1 </w:t>
      </w:r>
      <w:r>
        <w:rPr>
          <w:spacing w:val="-2"/>
        </w:rPr>
        <w:t>SINGLE-VALUE</w:t>
      </w:r>
    </w:p>
    <w:p>
      <w:pPr>
        <w:pStyle w:val="BodyText"/>
        <w:spacing w:line="219" w:lineRule="exact"/>
        <w:ind w:left="1480"/>
      </w:pPr>
      <w:r>
        <w:rPr>
          <w:spacing w:val="-2"/>
        </w:rPr>
        <w:t>NO-USER-MODIFICATION</w:t>
      </w:r>
    </w:p>
    <w:p>
      <w:pPr>
        <w:pStyle w:val="BodyText"/>
        <w:spacing w:line="223" w:lineRule="exact"/>
        <w:ind w:left="1480"/>
      </w:pPr>
      <w:r>
        <w:rPr/>
        <w:t>USAGE</w:t>
      </w:r>
      <w:r>
        <w:rPr>
          <w:spacing w:val="-12"/>
        </w:rPr>
        <w:t> </w:t>
      </w:r>
      <w:r>
        <w:rPr/>
        <w:t>directoryOperation</w:t>
      </w:r>
      <w:r>
        <w:rPr>
          <w:spacing w:val="-11"/>
        </w:rPr>
        <w:t> </w:t>
      </w:r>
      <w:r>
        <w:rPr>
          <w:spacing w:val="-10"/>
        </w:rPr>
        <w:t>)</w:t>
      </w:r>
    </w:p>
    <w:p>
      <w:pPr>
        <w:pStyle w:val="BodyText"/>
        <w:spacing w:line="232" w:lineRule="auto" w:before="219"/>
        <w:ind w:right="439"/>
        <w:jc w:val="both"/>
      </w:pPr>
      <w:r>
        <w:rPr/>
        <w:t>Servers</w:t>
      </w:r>
      <w:r>
        <w:rPr>
          <w:spacing w:val="-4"/>
        </w:rPr>
        <w:t> </w:t>
      </w:r>
      <w:r>
        <w:rPr/>
        <w:t>SHALL</w:t>
      </w:r>
      <w:r>
        <w:rPr>
          <w:spacing w:val="-4"/>
        </w:rPr>
        <w:t> </w:t>
      </w:r>
      <w:r>
        <w:rPr/>
        <w:t>generate</w:t>
      </w:r>
      <w:r>
        <w:rPr>
          <w:spacing w:val="-4"/>
        </w:rPr>
        <w:t> </w:t>
      </w:r>
      <w:r>
        <w:rPr/>
        <w:t>and</w:t>
      </w:r>
      <w:r>
        <w:rPr>
          <w:spacing w:val="-4"/>
        </w:rPr>
        <w:t> </w:t>
      </w:r>
      <w:r>
        <w:rPr/>
        <w:t>assign</w:t>
      </w:r>
      <w:r>
        <w:rPr>
          <w:spacing w:val="-4"/>
        </w:rPr>
        <w:t> </w:t>
      </w:r>
      <w:r>
        <w:rPr/>
        <w:t>a</w:t>
      </w:r>
      <w:r>
        <w:rPr>
          <w:spacing w:val="-4"/>
        </w:rPr>
        <w:t> </w:t>
      </w:r>
      <w:r>
        <w:rPr/>
        <w:t>new</w:t>
      </w:r>
      <w:r>
        <w:rPr>
          <w:spacing w:val="-4"/>
        </w:rPr>
        <w:t> </w:t>
      </w:r>
      <w:r>
        <w:rPr/>
        <w:t>UUID</w:t>
      </w:r>
      <w:r>
        <w:rPr>
          <w:spacing w:val="-4"/>
        </w:rPr>
        <w:t> </w:t>
      </w:r>
      <w:r>
        <w:rPr/>
        <w:t>to</w:t>
      </w:r>
      <w:r>
        <w:rPr>
          <w:spacing w:val="-4"/>
        </w:rPr>
        <w:t> </w:t>
      </w:r>
      <w:r>
        <w:rPr/>
        <w:t>each</w:t>
      </w:r>
      <w:r>
        <w:rPr>
          <w:spacing w:val="-4"/>
        </w:rPr>
        <w:t> </w:t>
      </w:r>
      <w:r>
        <w:rPr/>
        <w:t>entry</w:t>
      </w:r>
      <w:r>
        <w:rPr>
          <w:spacing w:val="-4"/>
        </w:rPr>
        <w:t> </w:t>
      </w:r>
      <w:r>
        <w:rPr/>
        <w:t>upon</w:t>
      </w:r>
      <w:r>
        <w:rPr>
          <w:spacing w:val="-4"/>
        </w:rPr>
        <w:t> </w:t>
      </w:r>
      <w:r>
        <w:rPr/>
        <w:t>its addition</w:t>
      </w:r>
      <w:r>
        <w:rPr>
          <w:spacing w:val="-4"/>
        </w:rPr>
        <w:t> </w:t>
      </w:r>
      <w:r>
        <w:rPr/>
        <w:t>to</w:t>
      </w:r>
      <w:r>
        <w:rPr>
          <w:spacing w:val="-4"/>
        </w:rPr>
        <w:t> </w:t>
      </w:r>
      <w:r>
        <w:rPr/>
        <w:t>the</w:t>
      </w:r>
      <w:r>
        <w:rPr>
          <w:spacing w:val="-4"/>
        </w:rPr>
        <w:t> </w:t>
      </w:r>
      <w:r>
        <w:rPr/>
        <w:t>directory</w:t>
      </w:r>
      <w:r>
        <w:rPr>
          <w:spacing w:val="-4"/>
        </w:rPr>
        <w:t> </w:t>
      </w:r>
      <w:r>
        <w:rPr/>
        <w:t>and</w:t>
      </w:r>
      <w:r>
        <w:rPr>
          <w:spacing w:val="-4"/>
        </w:rPr>
        <w:t> </w:t>
      </w:r>
      <w:r>
        <w:rPr/>
        <w:t>provide</w:t>
      </w:r>
      <w:r>
        <w:rPr>
          <w:spacing w:val="-4"/>
        </w:rPr>
        <w:t> </w:t>
      </w:r>
      <w:r>
        <w:rPr/>
        <w:t>that</w:t>
      </w:r>
      <w:r>
        <w:rPr>
          <w:spacing w:val="-4"/>
        </w:rPr>
        <w:t> </w:t>
      </w:r>
      <w:r>
        <w:rPr/>
        <w:t>UUID</w:t>
      </w:r>
      <w:r>
        <w:rPr>
          <w:spacing w:val="-4"/>
        </w:rPr>
        <w:t> </w:t>
      </w:r>
      <w:r>
        <w:rPr/>
        <w:t>as</w:t>
      </w:r>
      <w:r>
        <w:rPr>
          <w:spacing w:val="-4"/>
        </w:rPr>
        <w:t> </w:t>
      </w:r>
      <w:r>
        <w:rPr/>
        <w:t>the</w:t>
      </w:r>
      <w:r>
        <w:rPr>
          <w:spacing w:val="-4"/>
        </w:rPr>
        <w:t> </w:t>
      </w:r>
      <w:r>
        <w:rPr/>
        <w:t>value</w:t>
      </w:r>
      <w:r>
        <w:rPr>
          <w:spacing w:val="-4"/>
        </w:rPr>
        <w:t> </w:t>
      </w:r>
      <w:r>
        <w:rPr/>
        <w:t>of</w:t>
      </w:r>
      <w:r>
        <w:rPr>
          <w:spacing w:val="-4"/>
        </w:rPr>
        <w:t> </w:t>
      </w:r>
      <w:r>
        <w:rPr/>
        <w:t>the ’entryUUID’ operational attribute.</w:t>
      </w:r>
      <w:r>
        <w:rPr>
          <w:spacing w:val="80"/>
        </w:rPr>
        <w:t> </w:t>
      </w:r>
      <w:r>
        <w:rPr/>
        <w:t>An entry’s UUID is immutable.</w:t>
      </w:r>
    </w:p>
    <w:p>
      <w:pPr>
        <w:pStyle w:val="BodyText"/>
        <w:spacing w:line="232" w:lineRule="auto" w:before="221"/>
        <w:ind w:right="199"/>
      </w:pPr>
      <w:r>
        <w:rPr/>
        <w:t>UUID are to be generated in accordance with Section 4 of [RFC4122]. In</w:t>
      </w:r>
      <w:r>
        <w:rPr>
          <w:spacing w:val="-5"/>
        </w:rPr>
        <w:t> </w:t>
      </w:r>
      <w:r>
        <w:rPr/>
        <w:t>particular,</w:t>
      </w:r>
      <w:r>
        <w:rPr>
          <w:spacing w:val="-5"/>
        </w:rPr>
        <w:t> </w:t>
      </w:r>
      <w:r>
        <w:rPr/>
        <w:t>servers</w:t>
      </w:r>
      <w:r>
        <w:rPr>
          <w:spacing w:val="-5"/>
        </w:rPr>
        <w:t> </w:t>
      </w:r>
      <w:r>
        <w:rPr/>
        <w:t>MUST</w:t>
      </w:r>
      <w:r>
        <w:rPr>
          <w:spacing w:val="-5"/>
        </w:rPr>
        <w:t> </w:t>
      </w:r>
      <w:r>
        <w:rPr/>
        <w:t>ensure</w:t>
      </w:r>
      <w:r>
        <w:rPr>
          <w:spacing w:val="-5"/>
        </w:rPr>
        <w:t> </w:t>
      </w:r>
      <w:r>
        <w:rPr/>
        <w:t>that</w:t>
      </w:r>
      <w:r>
        <w:rPr>
          <w:spacing w:val="-5"/>
        </w:rPr>
        <w:t> </w:t>
      </w:r>
      <w:r>
        <w:rPr/>
        <w:t>each</w:t>
      </w:r>
      <w:r>
        <w:rPr>
          <w:spacing w:val="-5"/>
        </w:rPr>
        <w:t> </w:t>
      </w:r>
      <w:r>
        <w:rPr/>
        <w:t>generated</w:t>
      </w:r>
      <w:r>
        <w:rPr>
          <w:spacing w:val="-5"/>
        </w:rPr>
        <w:t> </w:t>
      </w:r>
      <w:r>
        <w:rPr/>
        <w:t>UUID</w:t>
      </w:r>
      <w:r>
        <w:rPr>
          <w:spacing w:val="-5"/>
        </w:rPr>
        <w:t> </w:t>
      </w:r>
      <w:r>
        <w:rPr/>
        <w:t>is</w:t>
      </w:r>
      <w:r>
        <w:rPr>
          <w:spacing w:val="-5"/>
        </w:rPr>
        <w:t> </w:t>
      </w:r>
      <w:r>
        <w:rPr/>
        <w:t>unique in space and time.</w:t>
      </w:r>
    </w:p>
    <w:p>
      <w:pPr>
        <w:pStyle w:val="ListParagraph"/>
        <w:numPr>
          <w:ilvl w:val="0"/>
          <w:numId w:val="2"/>
        </w:numPr>
        <w:tabs>
          <w:tab w:pos="638" w:val="left" w:leader="none"/>
        </w:tabs>
        <w:spacing w:line="240" w:lineRule="auto" w:before="215" w:after="0"/>
        <w:ind w:left="638" w:right="0" w:hanging="478"/>
        <w:jc w:val="left"/>
        <w:rPr>
          <w:sz w:val="20"/>
        </w:rPr>
      </w:pPr>
      <w:r>
        <w:rPr>
          <w:sz w:val="20"/>
        </w:rPr>
        <w:t>Security</w:t>
      </w:r>
      <w:r>
        <w:rPr>
          <w:spacing w:val="-8"/>
          <w:sz w:val="20"/>
        </w:rPr>
        <w:t> </w:t>
      </w:r>
      <w:r>
        <w:rPr>
          <w:spacing w:val="-2"/>
          <w:sz w:val="20"/>
        </w:rPr>
        <w:t>Considerations</w:t>
      </w:r>
    </w:p>
    <w:p>
      <w:pPr>
        <w:pStyle w:val="BodyText"/>
        <w:spacing w:line="232" w:lineRule="auto" w:before="219"/>
        <w:ind w:right="199"/>
      </w:pPr>
      <w:r>
        <w:rPr/>
        <w:t>An</w:t>
      </w:r>
      <w:r>
        <w:rPr>
          <w:spacing w:val="-5"/>
        </w:rPr>
        <w:t> </w:t>
      </w:r>
      <w:r>
        <w:rPr/>
        <w:t>entry’s</w:t>
      </w:r>
      <w:r>
        <w:rPr>
          <w:spacing w:val="-5"/>
        </w:rPr>
        <w:t> </w:t>
      </w:r>
      <w:r>
        <w:rPr/>
        <w:t>relative</w:t>
      </w:r>
      <w:r>
        <w:rPr>
          <w:spacing w:val="-5"/>
        </w:rPr>
        <w:t> </w:t>
      </w:r>
      <w:r>
        <w:rPr/>
        <w:t>distinguish</w:t>
      </w:r>
      <w:r>
        <w:rPr>
          <w:spacing w:val="-5"/>
        </w:rPr>
        <w:t> </w:t>
      </w:r>
      <w:r>
        <w:rPr/>
        <w:t>name</w:t>
      </w:r>
      <w:r>
        <w:rPr>
          <w:spacing w:val="-5"/>
        </w:rPr>
        <w:t> </w:t>
      </w:r>
      <w:r>
        <w:rPr/>
        <w:t>(RDN)</w:t>
      </w:r>
      <w:r>
        <w:rPr>
          <w:spacing w:val="-5"/>
        </w:rPr>
        <w:t> </w:t>
      </w:r>
      <w:r>
        <w:rPr/>
        <w:t>is</w:t>
      </w:r>
      <w:r>
        <w:rPr>
          <w:spacing w:val="-5"/>
        </w:rPr>
        <w:t> </w:t>
      </w:r>
      <w:r>
        <w:rPr/>
        <w:t>composed</w:t>
      </w:r>
      <w:r>
        <w:rPr>
          <w:spacing w:val="-5"/>
        </w:rPr>
        <w:t> </w:t>
      </w:r>
      <w:r>
        <w:rPr/>
        <w:t>from</w:t>
      </w:r>
      <w:r>
        <w:rPr>
          <w:spacing w:val="-5"/>
        </w:rPr>
        <w:t> </w:t>
      </w:r>
      <w:r>
        <w:rPr/>
        <w:t>attribute values</w:t>
      </w:r>
      <w:r>
        <w:rPr>
          <w:spacing w:val="-4"/>
        </w:rPr>
        <w:t> </w:t>
      </w:r>
      <w:r>
        <w:rPr/>
        <w:t>of</w:t>
      </w:r>
      <w:r>
        <w:rPr>
          <w:spacing w:val="-4"/>
        </w:rPr>
        <w:t> </w:t>
      </w:r>
      <w:r>
        <w:rPr/>
        <w:t>the</w:t>
      </w:r>
      <w:r>
        <w:rPr>
          <w:spacing w:val="-4"/>
        </w:rPr>
        <w:t> </w:t>
      </w:r>
      <w:r>
        <w:rPr/>
        <w:t>entry,</w:t>
      </w:r>
      <w:r>
        <w:rPr>
          <w:spacing w:val="-4"/>
        </w:rPr>
        <w:t> </w:t>
      </w:r>
      <w:r>
        <w:rPr/>
        <w:t>which</w:t>
      </w:r>
      <w:r>
        <w:rPr>
          <w:spacing w:val="-4"/>
        </w:rPr>
        <w:t> </w:t>
      </w:r>
      <w:r>
        <w:rPr/>
        <w:t>are</w:t>
      </w:r>
      <w:r>
        <w:rPr>
          <w:spacing w:val="-4"/>
        </w:rPr>
        <w:t> </w:t>
      </w:r>
      <w:r>
        <w:rPr/>
        <w:t>commonly</w:t>
      </w:r>
      <w:r>
        <w:rPr>
          <w:spacing w:val="-4"/>
        </w:rPr>
        <w:t> </w:t>
      </w:r>
      <w:r>
        <w:rPr/>
        <w:t>descriptive</w:t>
      </w:r>
      <w:r>
        <w:rPr>
          <w:spacing w:val="-4"/>
        </w:rPr>
        <w:t> </w:t>
      </w:r>
      <w:r>
        <w:rPr/>
        <w:t>of</w:t>
      </w:r>
      <w:r>
        <w:rPr>
          <w:spacing w:val="-4"/>
        </w:rPr>
        <w:t> </w:t>
      </w:r>
      <w:r>
        <w:rPr/>
        <w:t>the</w:t>
      </w:r>
      <w:r>
        <w:rPr>
          <w:spacing w:val="-4"/>
        </w:rPr>
        <w:t> </w:t>
      </w:r>
      <w:r>
        <w:rPr/>
        <w:t>object</w:t>
      </w:r>
      <w:r>
        <w:rPr>
          <w:spacing w:val="-4"/>
        </w:rPr>
        <w:t> </w:t>
      </w:r>
      <w:r>
        <w:rPr/>
        <w:t>the entry represents.</w:t>
      </w:r>
      <w:r>
        <w:rPr>
          <w:spacing w:val="80"/>
        </w:rPr>
        <w:t> </w:t>
      </w:r>
      <w:r>
        <w:rPr/>
        <w:t>Although deployers are encouraged to use naming attributes</w:t>
      </w:r>
      <w:r>
        <w:rPr>
          <w:spacing w:val="-6"/>
        </w:rPr>
        <w:t> </w:t>
      </w:r>
      <w:r>
        <w:rPr/>
        <w:t>whose</w:t>
      </w:r>
      <w:r>
        <w:rPr>
          <w:spacing w:val="-6"/>
        </w:rPr>
        <w:t> </w:t>
      </w:r>
      <w:r>
        <w:rPr/>
        <w:t>values</w:t>
      </w:r>
      <w:r>
        <w:rPr>
          <w:spacing w:val="-6"/>
        </w:rPr>
        <w:t> </w:t>
      </w:r>
      <w:r>
        <w:rPr/>
        <w:t>are</w:t>
      </w:r>
      <w:r>
        <w:rPr>
          <w:spacing w:val="-6"/>
        </w:rPr>
        <w:t> </w:t>
      </w:r>
      <w:r>
        <w:rPr/>
        <w:t>widely</w:t>
      </w:r>
      <w:r>
        <w:rPr>
          <w:spacing w:val="-6"/>
        </w:rPr>
        <w:t> </w:t>
      </w:r>
      <w:r>
        <w:rPr/>
        <w:t>disclosable</w:t>
      </w:r>
      <w:r>
        <w:rPr>
          <w:spacing w:val="-6"/>
        </w:rPr>
        <w:t> </w:t>
      </w:r>
      <w:r>
        <w:rPr/>
        <w:t>[RFC4514],</w:t>
      </w:r>
      <w:r>
        <w:rPr>
          <w:spacing w:val="-6"/>
        </w:rPr>
        <w:t> </w:t>
      </w:r>
      <w:r>
        <w:rPr/>
        <w:t>entries</w:t>
      </w:r>
      <w:r>
        <w:rPr>
          <w:spacing w:val="-6"/>
        </w:rPr>
        <w:t> </w:t>
      </w:r>
      <w:r>
        <w:rPr/>
        <w:t>are often named using information that cannot be disclosed to all parties.</w:t>
      </w:r>
      <w:r>
        <w:rPr>
          <w:spacing w:val="80"/>
        </w:rPr>
        <w:t> </w:t>
      </w:r>
      <w:r>
        <w:rPr/>
        <w:t>As UUIDs do not contain any descriptive information of the object they identify, UUIDs may be used to identify a particular entry without disclosure of its contents.</w:t>
      </w:r>
    </w:p>
    <w:p>
      <w:pPr>
        <w:pStyle w:val="BodyText"/>
        <w:spacing w:before="217"/>
        <w:jc w:val="both"/>
      </w:pPr>
      <w:r>
        <w:rPr/>
        <w:t>General</w:t>
      </w:r>
      <w:r>
        <w:rPr>
          <w:spacing w:val="-9"/>
        </w:rPr>
        <w:t> </w:t>
      </w:r>
      <w:r>
        <w:rPr/>
        <w:t>UUID</w:t>
      </w:r>
      <w:r>
        <w:rPr>
          <w:spacing w:val="-8"/>
        </w:rPr>
        <w:t> </w:t>
      </w:r>
      <w:r>
        <w:rPr/>
        <w:t>security</w:t>
      </w:r>
      <w:r>
        <w:rPr>
          <w:spacing w:val="-9"/>
        </w:rPr>
        <w:t> </w:t>
      </w:r>
      <w:r>
        <w:rPr/>
        <w:t>considerations</w:t>
      </w:r>
      <w:r>
        <w:rPr>
          <w:spacing w:val="-8"/>
        </w:rPr>
        <w:t> </w:t>
      </w:r>
      <w:r>
        <w:rPr/>
        <w:t>[RFC4122]</w:t>
      </w:r>
      <w:r>
        <w:rPr>
          <w:spacing w:val="-8"/>
        </w:rPr>
        <w:t> </w:t>
      </w:r>
      <w:r>
        <w:rPr>
          <w:spacing w:val="-2"/>
        </w:rPr>
        <w:t>apply.</w:t>
      </w:r>
    </w:p>
    <w:p>
      <w:pPr>
        <w:pStyle w:val="BodyText"/>
        <w:spacing w:after="0"/>
        <w:jc w:val="both"/>
        <w:sectPr>
          <w:pgSz w:w="12240" w:h="15840"/>
          <w:pgMar w:header="793" w:footer="2967" w:top="1360" w:bottom="3160" w:left="1440" w:right="1800"/>
        </w:sectPr>
      </w:pPr>
    </w:p>
    <w:p>
      <w:pPr>
        <w:pStyle w:val="BodyText"/>
        <w:spacing w:before="90"/>
      </w:pPr>
      <w:r>
        <w:rPr/>
        <w:t>General</w:t>
      </w:r>
      <w:r>
        <w:rPr>
          <w:spacing w:val="-9"/>
        </w:rPr>
        <w:t> </w:t>
      </w:r>
      <w:r>
        <w:rPr/>
        <w:t>LDAP</w:t>
      </w:r>
      <w:r>
        <w:rPr>
          <w:spacing w:val="-8"/>
        </w:rPr>
        <w:t> </w:t>
      </w:r>
      <w:r>
        <w:rPr/>
        <w:t>security</w:t>
      </w:r>
      <w:r>
        <w:rPr>
          <w:spacing w:val="-9"/>
        </w:rPr>
        <w:t> </w:t>
      </w:r>
      <w:r>
        <w:rPr/>
        <w:t>considerations</w:t>
      </w:r>
      <w:r>
        <w:rPr>
          <w:spacing w:val="-8"/>
        </w:rPr>
        <w:t> </w:t>
      </w:r>
      <w:r>
        <w:rPr/>
        <w:t>[RFC4510]</w:t>
      </w:r>
      <w:r>
        <w:rPr>
          <w:spacing w:val="-8"/>
        </w:rPr>
        <w:t> </w:t>
      </w:r>
      <w:r>
        <w:rPr>
          <w:spacing w:val="-2"/>
        </w:rPr>
        <w:t>apply.</w:t>
      </w:r>
    </w:p>
    <w:p>
      <w:pPr>
        <w:pStyle w:val="ListParagraph"/>
        <w:numPr>
          <w:ilvl w:val="0"/>
          <w:numId w:val="2"/>
        </w:numPr>
        <w:tabs>
          <w:tab w:pos="638" w:val="left" w:leader="none"/>
        </w:tabs>
        <w:spacing w:line="240" w:lineRule="auto" w:before="213" w:after="0"/>
        <w:ind w:left="638" w:right="0" w:hanging="478"/>
        <w:jc w:val="left"/>
        <w:rPr>
          <w:sz w:val="20"/>
        </w:rPr>
      </w:pPr>
      <w:r>
        <w:rPr>
          <w:sz w:val="20"/>
        </w:rPr>
        <w:t>IANA</w:t>
      </w:r>
      <w:r>
        <w:rPr>
          <w:spacing w:val="-4"/>
          <w:sz w:val="20"/>
        </w:rPr>
        <w:t> </w:t>
      </w:r>
      <w:r>
        <w:rPr>
          <w:spacing w:val="-2"/>
          <w:sz w:val="20"/>
        </w:rPr>
        <w:t>Considerations</w:t>
      </w:r>
    </w:p>
    <w:p>
      <w:pPr>
        <w:pStyle w:val="BodyText"/>
        <w:spacing w:line="232" w:lineRule="auto" w:before="219"/>
      </w:pPr>
      <w:r>
        <w:rPr/>
        <w:t>The</w:t>
      </w:r>
      <w:r>
        <w:rPr>
          <w:spacing w:val="-5"/>
        </w:rPr>
        <w:t> </w:t>
      </w:r>
      <w:r>
        <w:rPr/>
        <w:t>IANA</w:t>
      </w:r>
      <w:r>
        <w:rPr>
          <w:spacing w:val="-5"/>
        </w:rPr>
        <w:t> </w:t>
      </w:r>
      <w:r>
        <w:rPr/>
        <w:t>has</w:t>
      </w:r>
      <w:r>
        <w:rPr>
          <w:spacing w:val="-5"/>
        </w:rPr>
        <w:t> </w:t>
      </w:r>
      <w:r>
        <w:rPr/>
        <w:t>registered</w:t>
      </w:r>
      <w:r>
        <w:rPr>
          <w:spacing w:val="-5"/>
        </w:rPr>
        <w:t> </w:t>
      </w:r>
      <w:r>
        <w:rPr/>
        <w:t>the</w:t>
      </w:r>
      <w:r>
        <w:rPr>
          <w:spacing w:val="-5"/>
        </w:rPr>
        <w:t> </w:t>
      </w:r>
      <w:r>
        <w:rPr/>
        <w:t>LDAP</w:t>
      </w:r>
      <w:r>
        <w:rPr>
          <w:spacing w:val="-5"/>
        </w:rPr>
        <w:t> </w:t>
      </w:r>
      <w:r>
        <w:rPr/>
        <w:t>values</w:t>
      </w:r>
      <w:r>
        <w:rPr>
          <w:spacing w:val="-5"/>
        </w:rPr>
        <w:t> </w:t>
      </w:r>
      <w:r>
        <w:rPr/>
        <w:t>[RFC4520]</w:t>
      </w:r>
      <w:r>
        <w:rPr>
          <w:spacing w:val="-5"/>
        </w:rPr>
        <w:t> </w:t>
      </w:r>
      <w:r>
        <w:rPr/>
        <w:t>specified</w:t>
      </w:r>
      <w:r>
        <w:rPr>
          <w:spacing w:val="-5"/>
        </w:rPr>
        <w:t> </w:t>
      </w:r>
      <w:r>
        <w:rPr/>
        <w:t>in</w:t>
      </w:r>
      <w:r>
        <w:rPr>
          <w:spacing w:val="-5"/>
        </w:rPr>
        <w:t> </w:t>
      </w:r>
      <w:r>
        <w:rPr/>
        <w:t>this </w:t>
      </w:r>
      <w:r>
        <w:rPr>
          <w:spacing w:val="-2"/>
        </w:rPr>
        <w:t>document.</w:t>
      </w:r>
    </w:p>
    <w:p>
      <w:pPr>
        <w:pStyle w:val="ListParagraph"/>
        <w:numPr>
          <w:ilvl w:val="1"/>
          <w:numId w:val="2"/>
        </w:numPr>
        <w:tabs>
          <w:tab w:pos="876" w:val="left" w:leader="none"/>
        </w:tabs>
        <w:spacing w:line="240" w:lineRule="auto" w:before="215" w:after="0"/>
        <w:ind w:left="876" w:right="0" w:hanging="716"/>
        <w:jc w:val="left"/>
        <w:rPr>
          <w:sz w:val="20"/>
        </w:rPr>
      </w:pPr>
      <w:r>
        <w:rPr>
          <w:sz w:val="20"/>
        </w:rPr>
        <w:t>Object</w:t>
      </w:r>
      <w:r>
        <w:rPr>
          <w:spacing w:val="-8"/>
          <w:sz w:val="20"/>
        </w:rPr>
        <w:t> </w:t>
      </w:r>
      <w:r>
        <w:rPr>
          <w:sz w:val="20"/>
        </w:rPr>
        <w:t>Identifier</w:t>
      </w:r>
      <w:r>
        <w:rPr>
          <w:spacing w:val="-8"/>
          <w:sz w:val="20"/>
        </w:rPr>
        <w:t> </w:t>
      </w:r>
      <w:r>
        <w:rPr>
          <w:spacing w:val="-2"/>
          <w:sz w:val="20"/>
        </w:rPr>
        <w:t>Registration</w:t>
      </w:r>
    </w:p>
    <w:p>
      <w:pPr>
        <w:pStyle w:val="BodyText"/>
        <w:spacing w:line="223" w:lineRule="exact" w:before="213"/>
        <w:ind w:left="1000"/>
      </w:pPr>
      <w:r>
        <w:rPr/>
        <w:t>Subject:</w:t>
      </w:r>
      <w:r>
        <w:rPr>
          <w:spacing w:val="-5"/>
        </w:rPr>
        <w:t> </w:t>
      </w:r>
      <w:r>
        <w:rPr/>
        <w:t>Request</w:t>
      </w:r>
      <w:r>
        <w:rPr>
          <w:spacing w:val="-5"/>
        </w:rPr>
        <w:t> </w:t>
      </w:r>
      <w:r>
        <w:rPr/>
        <w:t>for</w:t>
      </w:r>
      <w:r>
        <w:rPr>
          <w:spacing w:val="-5"/>
        </w:rPr>
        <w:t> </w:t>
      </w:r>
      <w:r>
        <w:rPr/>
        <w:t>LDAP</w:t>
      </w:r>
      <w:r>
        <w:rPr>
          <w:spacing w:val="-5"/>
        </w:rPr>
        <w:t> </w:t>
      </w:r>
      <w:r>
        <w:rPr/>
        <w:t>OID</w:t>
      </w:r>
      <w:r>
        <w:rPr>
          <w:spacing w:val="-5"/>
        </w:rPr>
        <w:t> </w:t>
      </w:r>
      <w:r>
        <w:rPr>
          <w:spacing w:val="-2"/>
        </w:rPr>
        <w:t>Registration</w:t>
      </w:r>
    </w:p>
    <w:p>
      <w:pPr>
        <w:pStyle w:val="BodyText"/>
        <w:spacing w:line="232" w:lineRule="auto" w:before="2"/>
        <w:ind w:left="1480" w:right="983"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before="1"/>
        <w:ind w:left="1000" w:right="3939"/>
      </w:pPr>
      <w:r>
        <w:rPr/>
        <w:t>Specification: RFC 4530 Author/Change</w:t>
      </w:r>
      <w:r>
        <w:rPr>
          <w:spacing w:val="-20"/>
        </w:rPr>
        <w:t> </w:t>
      </w:r>
      <w:r>
        <w:rPr/>
        <w:t>Controller:</w:t>
      </w:r>
      <w:r>
        <w:rPr>
          <w:spacing w:val="-20"/>
        </w:rPr>
        <w:t> </w:t>
      </w:r>
      <w:r>
        <w:rPr/>
        <w:t>IESG </w:t>
      </w:r>
      <w:r>
        <w:rPr>
          <w:spacing w:val="-2"/>
        </w:rPr>
        <w:t>Comments:</w:t>
      </w:r>
    </w:p>
    <w:p>
      <w:pPr>
        <w:pStyle w:val="BodyText"/>
        <w:spacing w:line="222" w:lineRule="exact"/>
        <w:ind w:left="1480"/>
      </w:pPr>
      <w:r>
        <w:rPr/>
        <w:t>Identifies</w:t>
      </w:r>
      <w:r>
        <w:rPr>
          <w:spacing w:val="-6"/>
        </w:rPr>
        <w:t> </w:t>
      </w:r>
      <w:r>
        <w:rPr/>
        <w:t>the</w:t>
      </w:r>
      <w:r>
        <w:rPr>
          <w:spacing w:val="-6"/>
        </w:rPr>
        <w:t> </w:t>
      </w:r>
      <w:r>
        <w:rPr/>
        <w:t>UUID</w:t>
      </w:r>
      <w:r>
        <w:rPr>
          <w:spacing w:val="-6"/>
        </w:rPr>
        <w:t> </w:t>
      </w:r>
      <w:r>
        <w:rPr/>
        <w:t>schema</w:t>
      </w:r>
      <w:r>
        <w:rPr>
          <w:spacing w:val="-5"/>
        </w:rPr>
        <w:t> </w:t>
      </w:r>
      <w:r>
        <w:rPr>
          <w:spacing w:val="-2"/>
        </w:rPr>
        <w:t>elements</w:t>
      </w:r>
    </w:p>
    <w:p>
      <w:pPr>
        <w:pStyle w:val="ListParagraph"/>
        <w:numPr>
          <w:ilvl w:val="1"/>
          <w:numId w:val="2"/>
        </w:numPr>
        <w:tabs>
          <w:tab w:pos="876" w:val="left" w:leader="none"/>
        </w:tabs>
        <w:spacing w:line="240" w:lineRule="auto" w:before="213" w:after="0"/>
        <w:ind w:left="876" w:right="0" w:hanging="716"/>
        <w:jc w:val="left"/>
        <w:rPr>
          <w:sz w:val="20"/>
        </w:rPr>
      </w:pPr>
      <w:r>
        <w:rPr>
          <w:sz w:val="20"/>
        </w:rPr>
        <w:t>UUID</w:t>
      </w:r>
      <w:r>
        <w:rPr>
          <w:spacing w:val="-5"/>
          <w:sz w:val="20"/>
        </w:rPr>
        <w:t> </w:t>
      </w:r>
      <w:r>
        <w:rPr>
          <w:sz w:val="20"/>
        </w:rPr>
        <w:t>Syntax</w:t>
      </w:r>
      <w:r>
        <w:rPr>
          <w:spacing w:val="-5"/>
          <w:sz w:val="20"/>
        </w:rPr>
        <w:t> </w:t>
      </w:r>
      <w:r>
        <w:rPr>
          <w:spacing w:val="-2"/>
          <w:sz w:val="20"/>
        </w:rPr>
        <w:t>Registration</w:t>
      </w:r>
    </w:p>
    <w:p>
      <w:pPr>
        <w:pStyle w:val="BodyText"/>
        <w:spacing w:line="232" w:lineRule="auto" w:before="219"/>
        <w:ind w:left="1000" w:right="2599"/>
      </w:pPr>
      <w:r>
        <w:rPr/>
        <w:t>Subject:</w:t>
      </w:r>
      <w:r>
        <w:rPr>
          <w:spacing w:val="-9"/>
        </w:rPr>
        <w:t> </w:t>
      </w:r>
      <w:r>
        <w:rPr/>
        <w:t>Request</w:t>
      </w:r>
      <w:r>
        <w:rPr>
          <w:spacing w:val="-9"/>
        </w:rPr>
        <w:t> </w:t>
      </w:r>
      <w:r>
        <w:rPr/>
        <w:t>for</w:t>
      </w:r>
      <w:r>
        <w:rPr>
          <w:spacing w:val="-9"/>
        </w:rPr>
        <w:t> </w:t>
      </w:r>
      <w:r>
        <w:rPr/>
        <w:t>LDAP</w:t>
      </w:r>
      <w:r>
        <w:rPr>
          <w:spacing w:val="-9"/>
        </w:rPr>
        <w:t> </w:t>
      </w:r>
      <w:r>
        <w:rPr/>
        <w:t>Syntax</w:t>
      </w:r>
      <w:r>
        <w:rPr>
          <w:spacing w:val="-9"/>
        </w:rPr>
        <w:t> </w:t>
      </w:r>
      <w:r>
        <w:rPr/>
        <w:t>Registration Object Identifier: 1.3.6.1.1.16.1 Description: UUID</w:t>
      </w:r>
    </w:p>
    <w:p>
      <w:pPr>
        <w:pStyle w:val="BodyText"/>
        <w:spacing w:line="232" w:lineRule="auto"/>
        <w:ind w:left="1480" w:right="983"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before="1"/>
        <w:ind w:left="1000" w:right="3939"/>
      </w:pPr>
      <w:r>
        <w:rPr/>
        <w:t>Specification: RFC 4530 Author/Change</w:t>
      </w:r>
      <w:r>
        <w:rPr>
          <w:spacing w:val="-20"/>
        </w:rPr>
        <w:t> </w:t>
      </w:r>
      <w:r>
        <w:rPr/>
        <w:t>Controller:</w:t>
      </w:r>
      <w:r>
        <w:rPr>
          <w:spacing w:val="-20"/>
        </w:rPr>
        <w:t> </w:t>
      </w:r>
      <w:r>
        <w:rPr/>
        <w:t>IESG </w:t>
      </w:r>
      <w:r>
        <w:rPr>
          <w:spacing w:val="-2"/>
        </w:rPr>
        <w:t>Comments:</w:t>
      </w:r>
    </w:p>
    <w:p>
      <w:pPr>
        <w:pStyle w:val="BodyText"/>
        <w:spacing w:line="222" w:lineRule="exact"/>
        <w:ind w:left="1600"/>
      </w:pPr>
      <w:r>
        <w:rPr/>
        <w:t>Identifies</w:t>
      </w:r>
      <w:r>
        <w:rPr>
          <w:spacing w:val="-6"/>
        </w:rPr>
        <w:t> </w:t>
      </w:r>
      <w:r>
        <w:rPr/>
        <w:t>the</w:t>
      </w:r>
      <w:r>
        <w:rPr>
          <w:spacing w:val="-6"/>
        </w:rPr>
        <w:t> </w:t>
      </w:r>
      <w:r>
        <w:rPr/>
        <w:t>UUID</w:t>
      </w:r>
      <w:r>
        <w:rPr>
          <w:spacing w:val="-5"/>
        </w:rPr>
        <w:t> </w:t>
      </w:r>
      <w:r>
        <w:rPr>
          <w:spacing w:val="-2"/>
        </w:rPr>
        <w:t>syntax</w:t>
      </w:r>
    </w:p>
    <w:p>
      <w:pPr>
        <w:pStyle w:val="ListParagraph"/>
        <w:numPr>
          <w:ilvl w:val="1"/>
          <w:numId w:val="2"/>
        </w:numPr>
        <w:tabs>
          <w:tab w:pos="876" w:val="left" w:leader="none"/>
        </w:tabs>
        <w:spacing w:line="240" w:lineRule="auto" w:before="213" w:after="0"/>
        <w:ind w:left="876" w:right="0" w:hanging="716"/>
        <w:jc w:val="left"/>
        <w:rPr>
          <w:sz w:val="20"/>
        </w:rPr>
      </w:pPr>
      <w:r>
        <w:rPr>
          <w:sz w:val="20"/>
        </w:rPr>
        <w:t>’uuidMatch’</w:t>
      </w:r>
      <w:r>
        <w:rPr>
          <w:spacing w:val="-11"/>
          <w:sz w:val="20"/>
        </w:rPr>
        <w:t> </w:t>
      </w:r>
      <w:r>
        <w:rPr>
          <w:sz w:val="20"/>
        </w:rPr>
        <w:t>Descriptor</w:t>
      </w:r>
      <w:r>
        <w:rPr>
          <w:spacing w:val="-10"/>
          <w:sz w:val="20"/>
        </w:rPr>
        <w:t> </w:t>
      </w:r>
      <w:r>
        <w:rPr>
          <w:spacing w:val="-2"/>
          <w:sz w:val="20"/>
        </w:rPr>
        <w:t>Registration</w:t>
      </w:r>
    </w:p>
    <w:p>
      <w:pPr>
        <w:pStyle w:val="BodyText"/>
        <w:spacing w:line="232" w:lineRule="auto" w:before="219"/>
        <w:ind w:left="1000" w:right="983"/>
      </w:pPr>
      <w:r>
        <w:rPr/>
        <w:t>Subject:</w:t>
      </w:r>
      <w:r>
        <w:rPr>
          <w:spacing w:val="-9"/>
        </w:rPr>
        <w:t> </w:t>
      </w:r>
      <w:r>
        <w:rPr/>
        <w:t>Request</w:t>
      </w:r>
      <w:r>
        <w:rPr>
          <w:spacing w:val="-9"/>
        </w:rPr>
        <w:t> </w:t>
      </w:r>
      <w:r>
        <w:rPr/>
        <w:t>for</w:t>
      </w:r>
      <w:r>
        <w:rPr>
          <w:spacing w:val="-9"/>
        </w:rPr>
        <w:t> </w:t>
      </w:r>
      <w:r>
        <w:rPr/>
        <w:t>LDAP</w:t>
      </w:r>
      <w:r>
        <w:rPr>
          <w:spacing w:val="-9"/>
        </w:rPr>
        <w:t> </w:t>
      </w:r>
      <w:r>
        <w:rPr/>
        <w:t>Descriptor</w:t>
      </w:r>
      <w:r>
        <w:rPr>
          <w:spacing w:val="-9"/>
        </w:rPr>
        <w:t> </w:t>
      </w:r>
      <w:r>
        <w:rPr/>
        <w:t>Registration Descriptor (short name): uuidMatch</w:t>
      </w:r>
    </w:p>
    <w:p>
      <w:pPr>
        <w:pStyle w:val="BodyText"/>
        <w:spacing w:line="219" w:lineRule="exact"/>
        <w:ind w:left="1000"/>
      </w:pPr>
      <w:r>
        <w:rPr/>
        <w:t>Object</w:t>
      </w:r>
      <w:r>
        <w:rPr>
          <w:spacing w:val="-9"/>
        </w:rPr>
        <w:t> </w:t>
      </w:r>
      <w:r>
        <w:rPr/>
        <w:t>Identifier:</w:t>
      </w:r>
      <w:r>
        <w:rPr>
          <w:spacing w:val="-8"/>
        </w:rPr>
        <w:t> </w:t>
      </w:r>
      <w:r>
        <w:rPr>
          <w:spacing w:val="-2"/>
        </w:rPr>
        <w:t>1.3.6.1.1.16.2</w:t>
      </w:r>
    </w:p>
    <w:p>
      <w:pPr>
        <w:pStyle w:val="BodyText"/>
        <w:spacing w:line="232" w:lineRule="auto" w:before="1"/>
        <w:ind w:left="1480" w:right="983"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before="1"/>
        <w:ind w:left="1000" w:right="3939"/>
      </w:pPr>
      <w:r>
        <w:rPr/>
        <w:t>Usage: Matching Rule Specification: RFC 4530 Author/Change</w:t>
      </w:r>
      <w:r>
        <w:rPr>
          <w:spacing w:val="-20"/>
        </w:rPr>
        <w:t> </w:t>
      </w:r>
      <w:r>
        <w:rPr/>
        <w:t>Controller:</w:t>
      </w:r>
      <w:r>
        <w:rPr>
          <w:spacing w:val="-20"/>
        </w:rPr>
        <w:t> </w:t>
      </w:r>
      <w:r>
        <w:rPr/>
        <w:t>IESG</w:t>
      </w:r>
    </w:p>
    <w:p>
      <w:pPr>
        <w:pStyle w:val="ListParagraph"/>
        <w:numPr>
          <w:ilvl w:val="1"/>
          <w:numId w:val="2"/>
        </w:numPr>
        <w:tabs>
          <w:tab w:pos="876" w:val="left" w:leader="none"/>
        </w:tabs>
        <w:spacing w:line="240" w:lineRule="auto" w:before="215" w:after="0"/>
        <w:ind w:left="876" w:right="0" w:hanging="716"/>
        <w:jc w:val="left"/>
        <w:rPr>
          <w:sz w:val="20"/>
        </w:rPr>
      </w:pPr>
      <w:r>
        <w:rPr>
          <w:sz w:val="20"/>
        </w:rPr>
        <w:t>’uuidOrderingMatch’</w:t>
      </w:r>
      <w:r>
        <w:rPr>
          <w:spacing w:val="-15"/>
          <w:sz w:val="20"/>
        </w:rPr>
        <w:t> </w:t>
      </w:r>
      <w:r>
        <w:rPr>
          <w:sz w:val="20"/>
        </w:rPr>
        <w:t>Descriptor</w:t>
      </w:r>
      <w:r>
        <w:rPr>
          <w:spacing w:val="-14"/>
          <w:sz w:val="20"/>
        </w:rPr>
        <w:t> </w:t>
      </w:r>
      <w:r>
        <w:rPr>
          <w:spacing w:val="-2"/>
          <w:sz w:val="20"/>
        </w:rPr>
        <w:t>Registration</w:t>
      </w:r>
    </w:p>
    <w:p>
      <w:pPr>
        <w:pStyle w:val="BodyText"/>
        <w:spacing w:line="232" w:lineRule="auto" w:before="219"/>
        <w:ind w:left="1000" w:right="983"/>
      </w:pPr>
      <w:r>
        <w:rPr/>
        <w:t>Subject:</w:t>
      </w:r>
      <w:r>
        <w:rPr>
          <w:spacing w:val="-9"/>
        </w:rPr>
        <w:t> </w:t>
      </w:r>
      <w:r>
        <w:rPr/>
        <w:t>Request</w:t>
      </w:r>
      <w:r>
        <w:rPr>
          <w:spacing w:val="-9"/>
        </w:rPr>
        <w:t> </w:t>
      </w:r>
      <w:r>
        <w:rPr/>
        <w:t>for</w:t>
      </w:r>
      <w:r>
        <w:rPr>
          <w:spacing w:val="-9"/>
        </w:rPr>
        <w:t> </w:t>
      </w:r>
      <w:r>
        <w:rPr/>
        <w:t>LDAP</w:t>
      </w:r>
      <w:r>
        <w:rPr>
          <w:spacing w:val="-9"/>
        </w:rPr>
        <w:t> </w:t>
      </w:r>
      <w:r>
        <w:rPr/>
        <w:t>Descriptor</w:t>
      </w:r>
      <w:r>
        <w:rPr>
          <w:spacing w:val="-9"/>
        </w:rPr>
        <w:t> </w:t>
      </w:r>
      <w:r>
        <w:rPr/>
        <w:t>Registration Descriptor (short name): uuidOrderingMatch</w:t>
      </w:r>
    </w:p>
    <w:p>
      <w:pPr>
        <w:pStyle w:val="BodyText"/>
        <w:spacing w:line="219" w:lineRule="exact"/>
        <w:ind w:left="1000"/>
      </w:pPr>
      <w:r>
        <w:rPr/>
        <w:t>Object</w:t>
      </w:r>
      <w:r>
        <w:rPr>
          <w:spacing w:val="-9"/>
        </w:rPr>
        <w:t> </w:t>
      </w:r>
      <w:r>
        <w:rPr/>
        <w:t>Identifier:</w:t>
      </w:r>
      <w:r>
        <w:rPr>
          <w:spacing w:val="-8"/>
        </w:rPr>
        <w:t> </w:t>
      </w:r>
      <w:r>
        <w:rPr>
          <w:spacing w:val="-2"/>
        </w:rPr>
        <w:t>1.3.6.1.1.16.3</w:t>
      </w:r>
    </w:p>
    <w:p>
      <w:pPr>
        <w:pStyle w:val="BodyText"/>
        <w:spacing w:line="232" w:lineRule="auto" w:before="2"/>
        <w:ind w:left="1480" w:right="983"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22" w:lineRule="exact"/>
        <w:ind w:left="1000"/>
      </w:pPr>
      <w:r>
        <w:rPr/>
        <w:t>Usage:</w:t>
      </w:r>
      <w:r>
        <w:rPr>
          <w:spacing w:val="-7"/>
        </w:rPr>
        <w:t> </w:t>
      </w:r>
      <w:r>
        <w:rPr/>
        <w:t>Matching</w:t>
      </w:r>
      <w:r>
        <w:rPr>
          <w:spacing w:val="-7"/>
        </w:rPr>
        <w:t> </w:t>
      </w:r>
      <w:r>
        <w:rPr>
          <w:spacing w:val="-4"/>
        </w:rPr>
        <w:t>Rule</w:t>
      </w:r>
    </w:p>
    <w:p>
      <w:pPr>
        <w:pStyle w:val="BodyText"/>
        <w:spacing w:after="0" w:line="222" w:lineRule="exact"/>
        <w:sectPr>
          <w:pgSz w:w="12240" w:h="15840"/>
          <w:pgMar w:header="793" w:footer="2967" w:top="1360" w:bottom="3160" w:left="1440" w:right="1800"/>
        </w:sectPr>
      </w:pPr>
    </w:p>
    <w:p>
      <w:pPr>
        <w:pStyle w:val="BodyText"/>
        <w:spacing w:line="232" w:lineRule="auto" w:before="95"/>
        <w:ind w:left="1000" w:right="3939"/>
      </w:pPr>
      <w:r>
        <w:rPr/>
        <w:t>Specification: RFC 4530 Author/Change</w:t>
      </w:r>
      <w:r>
        <w:rPr>
          <w:spacing w:val="-20"/>
        </w:rPr>
        <w:t> </w:t>
      </w:r>
      <w:r>
        <w:rPr/>
        <w:t>Controller:</w:t>
      </w:r>
      <w:r>
        <w:rPr>
          <w:spacing w:val="-20"/>
        </w:rPr>
        <w:t> </w:t>
      </w:r>
      <w:r>
        <w:rPr/>
        <w:t>IESG</w:t>
      </w:r>
    </w:p>
    <w:p>
      <w:pPr>
        <w:pStyle w:val="ListParagraph"/>
        <w:numPr>
          <w:ilvl w:val="1"/>
          <w:numId w:val="2"/>
        </w:numPr>
        <w:tabs>
          <w:tab w:pos="876" w:val="left" w:leader="none"/>
        </w:tabs>
        <w:spacing w:line="240" w:lineRule="auto" w:before="215" w:after="0"/>
        <w:ind w:left="876" w:right="0" w:hanging="716"/>
        <w:jc w:val="left"/>
        <w:rPr>
          <w:sz w:val="20"/>
        </w:rPr>
      </w:pPr>
      <w:r>
        <w:rPr>
          <w:sz w:val="20"/>
        </w:rPr>
        <w:t>’entryUUID’</w:t>
      </w:r>
      <w:r>
        <w:rPr>
          <w:spacing w:val="-11"/>
          <w:sz w:val="20"/>
        </w:rPr>
        <w:t> </w:t>
      </w:r>
      <w:r>
        <w:rPr>
          <w:sz w:val="20"/>
        </w:rPr>
        <w:t>Descriptor</w:t>
      </w:r>
      <w:r>
        <w:rPr>
          <w:spacing w:val="-10"/>
          <w:sz w:val="20"/>
        </w:rPr>
        <w:t> </w:t>
      </w:r>
      <w:r>
        <w:rPr>
          <w:spacing w:val="-2"/>
          <w:sz w:val="20"/>
        </w:rPr>
        <w:t>Registration</w:t>
      </w:r>
    </w:p>
    <w:p>
      <w:pPr>
        <w:pStyle w:val="BodyText"/>
        <w:spacing w:before="214"/>
      </w:pPr>
      <w:r>
        <w:rPr/>
        <w:t>The</w:t>
      </w:r>
      <w:r>
        <w:rPr>
          <w:spacing w:val="-8"/>
        </w:rPr>
        <w:t> </w:t>
      </w:r>
      <w:r>
        <w:rPr/>
        <w:t>IANA</w:t>
      </w:r>
      <w:r>
        <w:rPr>
          <w:spacing w:val="-5"/>
        </w:rPr>
        <w:t> </w:t>
      </w:r>
      <w:r>
        <w:rPr/>
        <w:t>has</w:t>
      </w:r>
      <w:r>
        <w:rPr>
          <w:spacing w:val="-6"/>
        </w:rPr>
        <w:t> </w:t>
      </w:r>
      <w:r>
        <w:rPr/>
        <w:t>registered</w:t>
      </w:r>
      <w:r>
        <w:rPr>
          <w:spacing w:val="-5"/>
        </w:rPr>
        <w:t> </w:t>
      </w:r>
      <w:r>
        <w:rPr/>
        <w:t>the</w:t>
      </w:r>
      <w:r>
        <w:rPr>
          <w:spacing w:val="-6"/>
        </w:rPr>
        <w:t> </w:t>
      </w:r>
      <w:r>
        <w:rPr/>
        <w:t>LDAP</w:t>
      </w:r>
      <w:r>
        <w:rPr>
          <w:spacing w:val="-5"/>
        </w:rPr>
        <w:t> </w:t>
      </w:r>
      <w:r>
        <w:rPr/>
        <w:t>’entryUUID’</w:t>
      </w:r>
      <w:r>
        <w:rPr>
          <w:spacing w:val="-5"/>
        </w:rPr>
        <w:t> </w:t>
      </w:r>
      <w:r>
        <w:rPr>
          <w:spacing w:val="-2"/>
        </w:rPr>
        <w:t>descriptor.</w:t>
      </w:r>
    </w:p>
    <w:p>
      <w:pPr>
        <w:pStyle w:val="BodyText"/>
        <w:spacing w:line="232" w:lineRule="auto" w:before="218"/>
        <w:ind w:left="1000" w:right="983"/>
      </w:pPr>
      <w:r>
        <w:rPr/>
        <w:t>Subject:</w:t>
      </w:r>
      <w:r>
        <w:rPr>
          <w:spacing w:val="-9"/>
        </w:rPr>
        <w:t> </w:t>
      </w:r>
      <w:r>
        <w:rPr/>
        <w:t>Request</w:t>
      </w:r>
      <w:r>
        <w:rPr>
          <w:spacing w:val="-9"/>
        </w:rPr>
        <w:t> </w:t>
      </w:r>
      <w:r>
        <w:rPr/>
        <w:t>for</w:t>
      </w:r>
      <w:r>
        <w:rPr>
          <w:spacing w:val="-9"/>
        </w:rPr>
        <w:t> </w:t>
      </w:r>
      <w:r>
        <w:rPr/>
        <w:t>LDAP</w:t>
      </w:r>
      <w:r>
        <w:rPr>
          <w:spacing w:val="-9"/>
        </w:rPr>
        <w:t> </w:t>
      </w:r>
      <w:r>
        <w:rPr/>
        <w:t>Descriptor</w:t>
      </w:r>
      <w:r>
        <w:rPr>
          <w:spacing w:val="-9"/>
        </w:rPr>
        <w:t> </w:t>
      </w:r>
      <w:r>
        <w:rPr/>
        <w:t>Registration Descriptor (short name): entryUUID</w:t>
      </w:r>
    </w:p>
    <w:p>
      <w:pPr>
        <w:pStyle w:val="BodyText"/>
        <w:spacing w:line="219" w:lineRule="exact"/>
        <w:ind w:left="1000"/>
      </w:pPr>
      <w:r>
        <w:rPr/>
        <w:t>Object</w:t>
      </w:r>
      <w:r>
        <w:rPr>
          <w:spacing w:val="-9"/>
        </w:rPr>
        <w:t> </w:t>
      </w:r>
      <w:r>
        <w:rPr/>
        <w:t>Identifier:</w:t>
      </w:r>
      <w:r>
        <w:rPr>
          <w:spacing w:val="-8"/>
        </w:rPr>
        <w:t> </w:t>
      </w:r>
      <w:r>
        <w:rPr>
          <w:spacing w:val="-2"/>
        </w:rPr>
        <w:t>1.3.6.1.1.16.4</w:t>
      </w:r>
    </w:p>
    <w:p>
      <w:pPr>
        <w:pStyle w:val="BodyText"/>
        <w:spacing w:line="232" w:lineRule="auto" w:before="2"/>
        <w:ind w:left="1480" w:right="983" w:hanging="480"/>
      </w:pPr>
      <w:r>
        <w:rPr/>
        <w:t>Person</w:t>
      </w:r>
      <w:r>
        <w:rPr>
          <w:spacing w:val="-6"/>
        </w:rPr>
        <w:t> </w:t>
      </w:r>
      <w:r>
        <w:rPr/>
        <w:t>&amp;</w:t>
      </w:r>
      <w:r>
        <w:rPr>
          <w:spacing w:val="-6"/>
        </w:rPr>
        <w:t> </w:t>
      </w:r>
      <w:r>
        <w:rPr/>
        <w:t>email</w:t>
      </w:r>
      <w:r>
        <w:rPr>
          <w:spacing w:val="-6"/>
        </w:rPr>
        <w:t> </w:t>
      </w:r>
      <w:r>
        <w:rPr/>
        <w:t>address</w:t>
      </w:r>
      <w:r>
        <w:rPr>
          <w:spacing w:val="-6"/>
        </w:rPr>
        <w:t> </w:t>
      </w:r>
      <w:r>
        <w:rPr/>
        <w:t>to</w:t>
      </w:r>
      <w:r>
        <w:rPr>
          <w:spacing w:val="-6"/>
        </w:rPr>
        <w:t> </w:t>
      </w:r>
      <w:r>
        <w:rPr/>
        <w:t>contact</w:t>
      </w:r>
      <w:r>
        <w:rPr>
          <w:spacing w:val="-6"/>
        </w:rPr>
        <w:t> </w:t>
      </w:r>
      <w:r>
        <w:rPr/>
        <w:t>for</w:t>
      </w:r>
      <w:r>
        <w:rPr>
          <w:spacing w:val="-6"/>
        </w:rPr>
        <w:t> </w:t>
      </w:r>
      <w:r>
        <w:rPr/>
        <w:t>further</w:t>
      </w:r>
      <w:r>
        <w:rPr>
          <w:spacing w:val="-6"/>
        </w:rPr>
        <w:t> </w:t>
      </w:r>
      <w:r>
        <w:rPr/>
        <w:t>information: Kurt Zeilenga &lt;</w:t>
      </w:r>
      <w:hyperlink r:id="rId8">
        <w:r>
          <w:rPr/>
          <w:t>kurt@OpenLDAP.org</w:t>
        </w:r>
      </w:hyperlink>
      <w:r>
        <w:rPr/>
        <w:t>&gt;</w:t>
      </w:r>
    </w:p>
    <w:p>
      <w:pPr>
        <w:pStyle w:val="BodyText"/>
        <w:spacing w:line="232" w:lineRule="auto"/>
        <w:ind w:left="1000" w:right="3939"/>
      </w:pPr>
      <w:r>
        <w:rPr/>
        <w:t>Usage: Attribute Type Specification: RFC 4530 Author/Change</w:t>
      </w:r>
      <w:r>
        <w:rPr>
          <w:spacing w:val="-20"/>
        </w:rPr>
        <w:t> </w:t>
      </w:r>
      <w:r>
        <w:rPr/>
        <w:t>Controller:</w:t>
      </w:r>
      <w:r>
        <w:rPr>
          <w:spacing w:val="-20"/>
        </w:rPr>
        <w:t> </w:t>
      </w:r>
      <w:r>
        <w:rPr/>
        <w:t>IESG</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Acknowledgements</w:t>
      </w:r>
    </w:p>
    <w:p>
      <w:pPr>
        <w:pStyle w:val="BodyText"/>
        <w:spacing w:line="232" w:lineRule="auto" w:before="218"/>
      </w:pPr>
      <w:r>
        <w:rPr/>
        <w:t>This document is based upon discussions in the LDAP Update and Duplication</w:t>
      </w:r>
      <w:r>
        <w:rPr>
          <w:spacing w:val="-5"/>
        </w:rPr>
        <w:t> </w:t>
      </w:r>
      <w:r>
        <w:rPr/>
        <w:t>Protocols</w:t>
      </w:r>
      <w:r>
        <w:rPr>
          <w:spacing w:val="-5"/>
        </w:rPr>
        <w:t> </w:t>
      </w:r>
      <w:r>
        <w:rPr/>
        <w:t>(LDUP)</w:t>
      </w:r>
      <w:r>
        <w:rPr>
          <w:spacing w:val="-5"/>
        </w:rPr>
        <w:t> </w:t>
      </w:r>
      <w:r>
        <w:rPr/>
        <w:t>WG.</w:t>
      </w:r>
      <w:r>
        <w:rPr>
          <w:spacing w:val="80"/>
        </w:rPr>
        <w:t> </w:t>
      </w:r>
      <w:r>
        <w:rPr/>
        <w:t>Members</w:t>
      </w:r>
      <w:r>
        <w:rPr>
          <w:spacing w:val="-5"/>
        </w:rPr>
        <w:t> </w:t>
      </w:r>
      <w:r>
        <w:rPr/>
        <w:t>of</w:t>
      </w:r>
      <w:r>
        <w:rPr>
          <w:spacing w:val="-5"/>
        </w:rPr>
        <w:t> </w:t>
      </w:r>
      <w:r>
        <w:rPr/>
        <w:t>the</w:t>
      </w:r>
      <w:r>
        <w:rPr>
          <w:spacing w:val="-5"/>
        </w:rPr>
        <w:t> </w:t>
      </w:r>
      <w:r>
        <w:rPr/>
        <w:t>LDAP</w:t>
      </w:r>
      <w:r>
        <w:rPr>
          <w:spacing w:val="-5"/>
        </w:rPr>
        <w:t> </w:t>
      </w:r>
      <w:r>
        <w:rPr/>
        <w:t>Directorate provided review.</w:t>
      </w:r>
    </w:p>
    <w:p>
      <w:pPr>
        <w:pStyle w:val="ListParagraph"/>
        <w:numPr>
          <w:ilvl w:val="0"/>
          <w:numId w:val="2"/>
        </w:numPr>
        <w:tabs>
          <w:tab w:pos="638" w:val="left" w:leader="none"/>
        </w:tabs>
        <w:spacing w:line="240" w:lineRule="auto" w:before="216" w:after="0"/>
        <w:ind w:left="638" w:right="0" w:hanging="478"/>
        <w:jc w:val="left"/>
        <w:rPr>
          <w:sz w:val="20"/>
        </w:rPr>
      </w:pPr>
      <w:r>
        <w:rPr>
          <w:spacing w:val="-2"/>
          <w:sz w:val="20"/>
        </w:rPr>
        <w:t>References</w:t>
      </w:r>
    </w:p>
    <w:p>
      <w:pPr>
        <w:pStyle w:val="ListParagraph"/>
        <w:numPr>
          <w:ilvl w:val="1"/>
          <w:numId w:val="2"/>
        </w:numPr>
        <w:tabs>
          <w:tab w:pos="876" w:val="left" w:leader="none"/>
        </w:tabs>
        <w:spacing w:line="240" w:lineRule="auto" w:before="214" w:after="0"/>
        <w:ind w:left="876" w:right="0" w:hanging="716"/>
        <w:jc w:val="left"/>
        <w:rPr>
          <w:sz w:val="20"/>
        </w:rPr>
      </w:pPr>
      <w:r>
        <w:rPr>
          <w:sz w:val="20"/>
        </w:rPr>
        <w:t>Normative</w:t>
      </w:r>
      <w:r>
        <w:rPr>
          <w:spacing w:val="-9"/>
          <w:sz w:val="20"/>
        </w:rPr>
        <w:t> </w:t>
      </w:r>
      <w:r>
        <w:rPr>
          <w:spacing w:val="-2"/>
          <w:sz w:val="20"/>
        </w:rPr>
        <w:t>References</w:t>
      </w:r>
    </w:p>
    <w:p>
      <w:pPr>
        <w:pStyle w:val="BodyText"/>
        <w:tabs>
          <w:tab w:pos="2199" w:val="left" w:leader="none"/>
        </w:tabs>
        <w:spacing w:line="232" w:lineRule="auto" w:before="218"/>
        <w:ind w:left="2200" w:right="679" w:hanging="1680"/>
      </w:pPr>
      <w:r>
        <w:rPr>
          <w:spacing w:val="-2"/>
        </w:rPr>
        <w:t>[RFC2119]</w:t>
      </w:r>
      <w:r>
        <w:rPr/>
        <w:tab/>
        <w:t>Bradner,</w:t>
      </w:r>
      <w:r>
        <w:rPr>
          <w:spacing w:val="-5"/>
        </w:rPr>
        <w:t> </w:t>
      </w:r>
      <w:r>
        <w:rPr/>
        <w:t>S.,</w:t>
      </w:r>
      <w:r>
        <w:rPr>
          <w:spacing w:val="-5"/>
        </w:rPr>
        <w:t> </w:t>
      </w:r>
      <w:r>
        <w:rPr/>
        <w:t>"Key</w:t>
      </w:r>
      <w:r>
        <w:rPr>
          <w:spacing w:val="-5"/>
        </w:rPr>
        <w:t> </w:t>
      </w:r>
      <w:r>
        <w:rPr/>
        <w:t>words</w:t>
      </w:r>
      <w:r>
        <w:rPr>
          <w:spacing w:val="-5"/>
        </w:rPr>
        <w:t> </w:t>
      </w:r>
      <w:r>
        <w:rPr/>
        <w:t>for</w:t>
      </w:r>
      <w:r>
        <w:rPr>
          <w:spacing w:val="-5"/>
        </w:rPr>
        <w:t> </w:t>
      </w:r>
      <w:r>
        <w:rPr/>
        <w:t>use</w:t>
      </w:r>
      <w:r>
        <w:rPr>
          <w:spacing w:val="-5"/>
        </w:rPr>
        <w:t> </w:t>
      </w:r>
      <w:r>
        <w:rPr/>
        <w:t>in</w:t>
      </w:r>
      <w:r>
        <w:rPr>
          <w:spacing w:val="-5"/>
        </w:rPr>
        <w:t> </w:t>
      </w:r>
      <w:r>
        <w:rPr/>
        <w:t>RFCs</w:t>
      </w:r>
      <w:r>
        <w:rPr>
          <w:spacing w:val="-5"/>
        </w:rPr>
        <w:t> </w:t>
      </w:r>
      <w:r>
        <w:rPr/>
        <w:t>to</w:t>
      </w:r>
      <w:r>
        <w:rPr>
          <w:spacing w:val="-5"/>
        </w:rPr>
        <w:t> </w:t>
      </w:r>
      <w:r>
        <w:rPr/>
        <w:t>Indicate Requirement Levels", BCP 14, RFC 2119, March 1997.</w:t>
      </w:r>
    </w:p>
    <w:p>
      <w:pPr>
        <w:pStyle w:val="BodyText"/>
        <w:tabs>
          <w:tab w:pos="2199" w:val="left" w:leader="none"/>
        </w:tabs>
        <w:spacing w:line="232" w:lineRule="auto" w:before="220"/>
        <w:ind w:left="2200" w:right="199" w:hanging="1680"/>
      </w:pPr>
      <w:r>
        <w:rPr>
          <w:spacing w:val="-2"/>
        </w:rPr>
        <w:t>[RFC4122]</w:t>
      </w:r>
      <w:r>
        <w:rPr/>
        <w:tab/>
        <w:t>Leach, P., Mealling, M., and R. Salz, "A Universally Unique</w:t>
      </w:r>
      <w:r>
        <w:rPr>
          <w:spacing w:val="-6"/>
        </w:rPr>
        <w:t> </w:t>
      </w:r>
      <w:r>
        <w:rPr/>
        <w:t>IDentifier</w:t>
      </w:r>
      <w:r>
        <w:rPr>
          <w:spacing w:val="-6"/>
        </w:rPr>
        <w:t> </w:t>
      </w:r>
      <w:r>
        <w:rPr/>
        <w:t>(UUID)</w:t>
      </w:r>
      <w:r>
        <w:rPr>
          <w:spacing w:val="-6"/>
        </w:rPr>
        <w:t> </w:t>
      </w:r>
      <w:r>
        <w:rPr/>
        <w:t>URN</w:t>
      </w:r>
      <w:r>
        <w:rPr>
          <w:spacing w:val="-6"/>
        </w:rPr>
        <w:t> </w:t>
      </w:r>
      <w:r>
        <w:rPr/>
        <w:t>Namespace",</w:t>
      </w:r>
      <w:r>
        <w:rPr>
          <w:spacing w:val="-6"/>
        </w:rPr>
        <w:t> </w:t>
      </w:r>
      <w:r>
        <w:rPr/>
        <w:t>RFC</w:t>
      </w:r>
      <w:r>
        <w:rPr>
          <w:spacing w:val="-6"/>
        </w:rPr>
        <w:t> </w:t>
      </w:r>
      <w:r>
        <w:rPr/>
        <w:t>4122,</w:t>
      </w:r>
      <w:r>
        <w:rPr>
          <w:spacing w:val="-6"/>
        </w:rPr>
        <w:t> </w:t>
      </w:r>
      <w:r>
        <w:rPr/>
        <w:t>July </w:t>
      </w:r>
      <w:r>
        <w:rPr>
          <w:spacing w:val="-2"/>
        </w:rPr>
        <w:t>2005.</w:t>
      </w:r>
    </w:p>
    <w:p>
      <w:pPr>
        <w:pStyle w:val="BodyText"/>
        <w:tabs>
          <w:tab w:pos="2199" w:val="left" w:leader="none"/>
        </w:tabs>
        <w:spacing w:line="232" w:lineRule="auto" w:before="221"/>
        <w:ind w:left="2200" w:right="199" w:hanging="1680"/>
      </w:pPr>
      <w:r>
        <w:rPr>
          <w:spacing w:val="-2"/>
        </w:rPr>
        <w:t>[RFC4510]</w:t>
      </w:r>
      <w:r>
        <w:rPr/>
        <w:tab/>
        <w:t>Zeilenga, K., Ed., "Lightweight Directory Access Protocol</w:t>
      </w:r>
      <w:r>
        <w:rPr>
          <w:spacing w:val="-7"/>
        </w:rPr>
        <w:t> </w:t>
      </w:r>
      <w:r>
        <w:rPr/>
        <w:t>(LDAP):</w:t>
      </w:r>
      <w:r>
        <w:rPr>
          <w:spacing w:val="-7"/>
        </w:rPr>
        <w:t> </w:t>
      </w:r>
      <w:r>
        <w:rPr/>
        <w:t>Technical</w:t>
      </w:r>
      <w:r>
        <w:rPr>
          <w:spacing w:val="-7"/>
        </w:rPr>
        <w:t> </w:t>
      </w:r>
      <w:r>
        <w:rPr/>
        <w:t>Specification</w:t>
      </w:r>
      <w:r>
        <w:rPr>
          <w:spacing w:val="-7"/>
        </w:rPr>
        <w:t> </w:t>
      </w:r>
      <w:r>
        <w:rPr/>
        <w:t>Road</w:t>
      </w:r>
      <w:r>
        <w:rPr>
          <w:spacing w:val="-7"/>
        </w:rPr>
        <w:t> </w:t>
      </w:r>
      <w:r>
        <w:rPr/>
        <w:t>Map",</w:t>
      </w:r>
      <w:r>
        <w:rPr>
          <w:spacing w:val="-7"/>
        </w:rPr>
        <w:t> </w:t>
      </w:r>
      <w:r>
        <w:rPr/>
        <w:t>RFC 4510, June 2006.</w:t>
      </w:r>
    </w:p>
    <w:p>
      <w:pPr>
        <w:pStyle w:val="BodyText"/>
        <w:tabs>
          <w:tab w:pos="2199" w:val="left" w:leader="none"/>
        </w:tabs>
        <w:spacing w:line="232" w:lineRule="auto" w:before="221"/>
        <w:ind w:left="2200" w:right="439" w:hanging="1680"/>
      </w:pPr>
      <w:r>
        <w:rPr>
          <w:spacing w:val="-2"/>
        </w:rPr>
        <w:t>[RFC4512]</w:t>
      </w:r>
      <w:r>
        <w:rPr/>
        <w:tab/>
        <w:t>Zeilenga, K., "Lightweight Directory Access Protocol (LDAP):</w:t>
      </w:r>
      <w:r>
        <w:rPr>
          <w:spacing w:val="-7"/>
        </w:rPr>
        <w:t> </w:t>
      </w:r>
      <w:r>
        <w:rPr/>
        <w:t>Directory</w:t>
      </w:r>
      <w:r>
        <w:rPr>
          <w:spacing w:val="-7"/>
        </w:rPr>
        <w:t> </w:t>
      </w:r>
      <w:r>
        <w:rPr/>
        <w:t>Information</w:t>
      </w:r>
      <w:r>
        <w:rPr>
          <w:spacing w:val="-7"/>
        </w:rPr>
        <w:t> </w:t>
      </w:r>
      <w:r>
        <w:rPr/>
        <w:t>Models",</w:t>
      </w:r>
      <w:r>
        <w:rPr>
          <w:spacing w:val="-7"/>
        </w:rPr>
        <w:t> </w:t>
      </w:r>
      <w:r>
        <w:rPr/>
        <w:t>RFC</w:t>
      </w:r>
      <w:r>
        <w:rPr>
          <w:spacing w:val="-7"/>
        </w:rPr>
        <w:t> </w:t>
      </w:r>
      <w:r>
        <w:rPr/>
        <w:t>4512,</w:t>
      </w:r>
      <w:r>
        <w:rPr>
          <w:spacing w:val="-7"/>
        </w:rPr>
        <w:t> </w:t>
      </w:r>
      <w:r>
        <w:rPr/>
        <w:t>June </w:t>
      </w:r>
      <w:r>
        <w:rPr>
          <w:spacing w:val="-2"/>
        </w:rPr>
        <w:t>2006.</w:t>
      </w:r>
    </w:p>
    <w:p>
      <w:pPr>
        <w:pStyle w:val="BodyText"/>
        <w:tabs>
          <w:tab w:pos="2199" w:val="left" w:leader="none"/>
        </w:tabs>
        <w:spacing w:line="232" w:lineRule="auto" w:before="221"/>
        <w:ind w:left="2200" w:right="439" w:hanging="1680"/>
      </w:pPr>
      <w:r>
        <w:rPr>
          <w:spacing w:val="-2"/>
        </w:rPr>
        <w:t>[RFC4517]</w:t>
      </w:r>
      <w:r>
        <w:rPr/>
        <w:tab/>
        <w:t>Legg,</w:t>
      </w:r>
      <w:r>
        <w:rPr>
          <w:spacing w:val="-7"/>
        </w:rPr>
        <w:t> </w:t>
      </w:r>
      <w:r>
        <w:rPr/>
        <w:t>S.,</w:t>
      </w:r>
      <w:r>
        <w:rPr>
          <w:spacing w:val="-7"/>
        </w:rPr>
        <w:t> </w:t>
      </w:r>
      <w:r>
        <w:rPr/>
        <w:t>Ed.,</w:t>
      </w:r>
      <w:r>
        <w:rPr>
          <w:spacing w:val="-7"/>
        </w:rPr>
        <w:t> </w:t>
      </w:r>
      <w:r>
        <w:rPr/>
        <w:t>"Lightweight</w:t>
      </w:r>
      <w:r>
        <w:rPr>
          <w:spacing w:val="-7"/>
        </w:rPr>
        <w:t> </w:t>
      </w:r>
      <w:r>
        <w:rPr/>
        <w:t>Directory</w:t>
      </w:r>
      <w:r>
        <w:rPr>
          <w:spacing w:val="-7"/>
        </w:rPr>
        <w:t> </w:t>
      </w:r>
      <w:r>
        <w:rPr/>
        <w:t>Access</w:t>
      </w:r>
      <w:r>
        <w:rPr>
          <w:spacing w:val="-7"/>
        </w:rPr>
        <w:t> </w:t>
      </w:r>
      <w:r>
        <w:rPr/>
        <w:t>Protocol (LDAP): Syntaxes and Matching Rules", RFC 4517, June </w:t>
      </w:r>
      <w:r>
        <w:rPr>
          <w:spacing w:val="-2"/>
        </w:rPr>
        <w:t>2006.</w:t>
      </w:r>
    </w:p>
    <w:p>
      <w:pPr>
        <w:pStyle w:val="BodyText"/>
        <w:tabs>
          <w:tab w:pos="2199" w:val="left" w:leader="none"/>
        </w:tabs>
        <w:spacing w:line="232" w:lineRule="auto" w:before="220"/>
        <w:ind w:left="2200" w:right="439" w:hanging="1680"/>
      </w:pPr>
      <w:r>
        <w:rPr>
          <w:spacing w:val="-2"/>
        </w:rPr>
        <w:t>[ASCII]</w:t>
      </w:r>
      <w:r>
        <w:rPr/>
        <w:tab/>
        <w:t>Coded</w:t>
      </w:r>
      <w:r>
        <w:rPr>
          <w:spacing w:val="-7"/>
        </w:rPr>
        <w:t> </w:t>
      </w:r>
      <w:r>
        <w:rPr/>
        <w:t>Character</w:t>
      </w:r>
      <w:r>
        <w:rPr>
          <w:spacing w:val="-7"/>
        </w:rPr>
        <w:t> </w:t>
      </w:r>
      <w:r>
        <w:rPr/>
        <w:t>Set--7-bit</w:t>
      </w:r>
      <w:r>
        <w:rPr>
          <w:spacing w:val="-7"/>
        </w:rPr>
        <w:t> </w:t>
      </w:r>
      <w:r>
        <w:rPr/>
        <w:t>American</w:t>
      </w:r>
      <w:r>
        <w:rPr>
          <w:spacing w:val="-7"/>
        </w:rPr>
        <w:t> </w:t>
      </w:r>
      <w:r>
        <w:rPr/>
        <w:t>Standard</w:t>
      </w:r>
      <w:r>
        <w:rPr>
          <w:spacing w:val="-7"/>
        </w:rPr>
        <w:t> </w:t>
      </w:r>
      <w:r>
        <w:rPr/>
        <w:t>Code</w:t>
      </w:r>
      <w:r>
        <w:rPr>
          <w:spacing w:val="-7"/>
        </w:rPr>
        <w:t> </w:t>
      </w:r>
      <w:r>
        <w:rPr/>
        <w:t>for Information Interchange, ANSI X3.4-1986.</w:t>
      </w:r>
    </w:p>
    <w:p>
      <w:pPr>
        <w:pStyle w:val="BodyText"/>
        <w:spacing w:after="0" w:line="232" w:lineRule="auto"/>
        <w:sectPr>
          <w:pgSz w:w="12240" w:h="15840"/>
          <w:pgMar w:header="793" w:footer="2967" w:top="1360" w:bottom="3160" w:left="1440" w:right="1800"/>
        </w:sectPr>
      </w:pPr>
    </w:p>
    <w:p>
      <w:pPr>
        <w:pStyle w:val="BodyText"/>
        <w:tabs>
          <w:tab w:pos="2199" w:val="left" w:leader="none"/>
        </w:tabs>
        <w:spacing w:line="232" w:lineRule="auto" w:before="95"/>
        <w:ind w:left="2200" w:right="439" w:hanging="1680"/>
      </w:pPr>
      <w:r>
        <w:rPr>
          <w:spacing w:val="-2"/>
        </w:rPr>
        <w:t>[X.501]</w:t>
      </w:r>
      <w:r>
        <w:rPr/>
        <w:tab/>
        <w:t>International Telecommunication Union - Telecommunication Standardization Sector, "The Directory</w:t>
      </w:r>
      <w:r>
        <w:rPr>
          <w:spacing w:val="-7"/>
        </w:rPr>
        <w:t> </w:t>
      </w:r>
      <w:r>
        <w:rPr/>
        <w:t>--</w:t>
      </w:r>
      <w:r>
        <w:rPr>
          <w:spacing w:val="-7"/>
        </w:rPr>
        <w:t> </w:t>
      </w:r>
      <w:r>
        <w:rPr/>
        <w:t>Models,"</w:t>
      </w:r>
      <w:r>
        <w:rPr>
          <w:spacing w:val="-7"/>
        </w:rPr>
        <w:t> </w:t>
      </w:r>
      <w:r>
        <w:rPr/>
        <w:t>X.501(1993)</w:t>
      </w:r>
      <w:r>
        <w:rPr>
          <w:spacing w:val="-7"/>
        </w:rPr>
        <w:t> </w:t>
      </w:r>
      <w:r>
        <w:rPr/>
        <w:t>(also</w:t>
      </w:r>
      <w:r>
        <w:rPr>
          <w:spacing w:val="-7"/>
        </w:rPr>
        <w:t> </w:t>
      </w:r>
      <w:r>
        <w:rPr/>
        <w:t>ISO/IEC</w:t>
      </w:r>
      <w:r>
        <w:rPr>
          <w:spacing w:val="-7"/>
        </w:rPr>
        <w:t> </w:t>
      </w:r>
      <w:r>
        <w:rPr/>
        <w:t>9594-</w:t>
      </w:r>
      <w:r>
        <w:rPr>
          <w:spacing w:val="-2"/>
        </w:rPr>
        <w:t>2:1994).</w:t>
      </w:r>
    </w:p>
    <w:p>
      <w:pPr>
        <w:pStyle w:val="BodyText"/>
        <w:tabs>
          <w:tab w:pos="2199" w:val="left" w:leader="none"/>
        </w:tabs>
        <w:spacing w:line="232" w:lineRule="auto" w:before="221"/>
        <w:ind w:left="2200" w:right="199" w:hanging="1680"/>
      </w:pPr>
      <w:r>
        <w:rPr>
          <w:spacing w:val="-2"/>
        </w:rPr>
        <w:t>[X.520]</w:t>
      </w:r>
      <w:r>
        <w:rPr/>
        <w:tab/>
        <w:t>International Telecommunication Union - Telecommunication Standardization Sector, "The Directory:</w:t>
      </w:r>
      <w:r>
        <w:rPr>
          <w:spacing w:val="-9"/>
        </w:rPr>
        <w:t> </w:t>
      </w:r>
      <w:r>
        <w:rPr/>
        <w:t>Selected</w:t>
      </w:r>
      <w:r>
        <w:rPr>
          <w:spacing w:val="-9"/>
        </w:rPr>
        <w:t> </w:t>
      </w:r>
      <w:r>
        <w:rPr/>
        <w:t>Attribute</w:t>
      </w:r>
      <w:r>
        <w:rPr>
          <w:spacing w:val="-9"/>
        </w:rPr>
        <w:t> </w:t>
      </w:r>
      <w:r>
        <w:rPr/>
        <w:t>Types",</w:t>
      </w:r>
      <w:r>
        <w:rPr>
          <w:spacing w:val="-9"/>
        </w:rPr>
        <w:t> </w:t>
      </w:r>
      <w:r>
        <w:rPr/>
        <w:t>X.520(1993)</w:t>
      </w:r>
      <w:r>
        <w:rPr>
          <w:spacing w:val="-9"/>
        </w:rPr>
        <w:t> </w:t>
      </w:r>
      <w:r>
        <w:rPr/>
        <w:t>(also ISO/IEC 9594-6:1994).</w:t>
      </w:r>
    </w:p>
    <w:p>
      <w:pPr>
        <w:pStyle w:val="BodyText"/>
        <w:tabs>
          <w:tab w:pos="2199" w:val="left" w:leader="none"/>
        </w:tabs>
        <w:spacing w:line="232" w:lineRule="auto" w:before="221"/>
        <w:ind w:left="2200" w:right="559" w:hanging="1680"/>
      </w:pPr>
      <w:r>
        <w:rPr>
          <w:spacing w:val="-2"/>
        </w:rPr>
        <w:t>[X.680]</w:t>
      </w:r>
      <w:r>
        <w:rPr/>
        <w:tab/>
        <w:t>International Telecommunication Union - Telecommunication Standardization Sector, "Abstract Syntax</w:t>
      </w:r>
      <w:r>
        <w:rPr>
          <w:spacing w:val="-6"/>
        </w:rPr>
        <w:t> </w:t>
      </w:r>
      <w:r>
        <w:rPr/>
        <w:t>Notation</w:t>
      </w:r>
      <w:r>
        <w:rPr>
          <w:spacing w:val="-6"/>
        </w:rPr>
        <w:t> </w:t>
      </w:r>
      <w:r>
        <w:rPr/>
        <w:t>One</w:t>
      </w:r>
      <w:r>
        <w:rPr>
          <w:spacing w:val="-6"/>
        </w:rPr>
        <w:t> </w:t>
      </w:r>
      <w:r>
        <w:rPr/>
        <w:t>(ASN.1)</w:t>
      </w:r>
      <w:r>
        <w:rPr>
          <w:spacing w:val="-6"/>
        </w:rPr>
        <w:t> </w:t>
      </w:r>
      <w:r>
        <w:rPr/>
        <w:t>-</w:t>
      </w:r>
      <w:r>
        <w:rPr>
          <w:spacing w:val="-6"/>
        </w:rPr>
        <w:t> </w:t>
      </w:r>
      <w:r>
        <w:rPr/>
        <w:t>Specification</w:t>
      </w:r>
      <w:r>
        <w:rPr>
          <w:spacing w:val="-6"/>
        </w:rPr>
        <w:t> </w:t>
      </w:r>
      <w:r>
        <w:rPr/>
        <w:t>of</w:t>
      </w:r>
      <w:r>
        <w:rPr>
          <w:spacing w:val="-6"/>
        </w:rPr>
        <w:t> </w:t>
      </w:r>
      <w:r>
        <w:rPr/>
        <w:t>Basic Notation", X.680(2002) (also ISO/IEC 8824-1:2002).</w:t>
      </w:r>
    </w:p>
    <w:p>
      <w:pPr>
        <w:pStyle w:val="ListParagraph"/>
        <w:numPr>
          <w:ilvl w:val="1"/>
          <w:numId w:val="2"/>
        </w:numPr>
        <w:tabs>
          <w:tab w:pos="876" w:val="left" w:leader="none"/>
        </w:tabs>
        <w:spacing w:line="240" w:lineRule="auto" w:before="216" w:after="0"/>
        <w:ind w:left="876" w:right="0" w:hanging="716"/>
        <w:jc w:val="left"/>
        <w:rPr>
          <w:sz w:val="20"/>
        </w:rPr>
      </w:pPr>
      <w:r>
        <w:rPr>
          <w:sz w:val="20"/>
        </w:rPr>
        <w:t>Informative</w:t>
      </w:r>
      <w:r>
        <w:rPr>
          <w:spacing w:val="-11"/>
          <w:sz w:val="20"/>
        </w:rPr>
        <w:t> </w:t>
      </w:r>
      <w:r>
        <w:rPr>
          <w:spacing w:val="-2"/>
          <w:sz w:val="20"/>
        </w:rPr>
        <w:t>References</w:t>
      </w:r>
    </w:p>
    <w:p>
      <w:pPr>
        <w:pStyle w:val="BodyText"/>
        <w:tabs>
          <w:tab w:pos="2199" w:val="left" w:leader="none"/>
        </w:tabs>
        <w:spacing w:line="232" w:lineRule="auto" w:before="218"/>
        <w:ind w:left="2200" w:right="199" w:hanging="1680"/>
      </w:pPr>
      <w:r>
        <w:rPr>
          <w:spacing w:val="-2"/>
        </w:rPr>
        <w:t>[RFC4514]</w:t>
      </w:r>
      <w:r>
        <w:rPr/>
        <w:tab/>
        <w:t>Zeilenga, K., Ed., "Lightweight Directory Access Protocol</w:t>
      </w:r>
      <w:r>
        <w:rPr>
          <w:spacing w:val="-9"/>
        </w:rPr>
        <w:t> </w:t>
      </w:r>
      <w:r>
        <w:rPr/>
        <w:t>(LDAP):</w:t>
      </w:r>
      <w:r>
        <w:rPr>
          <w:spacing w:val="-9"/>
        </w:rPr>
        <w:t> </w:t>
      </w:r>
      <w:r>
        <w:rPr/>
        <w:t>String</w:t>
      </w:r>
      <w:r>
        <w:rPr>
          <w:spacing w:val="-9"/>
        </w:rPr>
        <w:t> </w:t>
      </w:r>
      <w:r>
        <w:rPr/>
        <w:t>Representation</w:t>
      </w:r>
      <w:r>
        <w:rPr>
          <w:spacing w:val="-9"/>
        </w:rPr>
        <w:t> </w:t>
      </w:r>
      <w:r>
        <w:rPr/>
        <w:t>of</w:t>
      </w:r>
      <w:r>
        <w:rPr>
          <w:spacing w:val="-9"/>
        </w:rPr>
        <w:t> </w:t>
      </w:r>
      <w:r>
        <w:rPr/>
        <w:t>Distinguished Names", RFC 4514, June 2006.</w:t>
      </w:r>
    </w:p>
    <w:p>
      <w:pPr>
        <w:pStyle w:val="BodyText"/>
        <w:tabs>
          <w:tab w:pos="2199" w:val="left" w:leader="none"/>
        </w:tabs>
        <w:spacing w:line="232" w:lineRule="auto" w:before="221"/>
        <w:ind w:left="2200" w:right="439" w:hanging="1680"/>
      </w:pPr>
      <w:r>
        <w:rPr>
          <w:spacing w:val="-2"/>
        </w:rPr>
        <w:t>[RFC4520]</w:t>
      </w:r>
      <w:r>
        <w:rPr/>
        <w:tab/>
        <w:t>Zeilenga, K., "Internet Assigned Numbers Authority (IANA) Considerations for the Lightweight Directory Access</w:t>
      </w:r>
      <w:r>
        <w:rPr>
          <w:spacing w:val="-6"/>
        </w:rPr>
        <w:t> </w:t>
      </w:r>
      <w:r>
        <w:rPr/>
        <w:t>Protocol</w:t>
      </w:r>
      <w:r>
        <w:rPr>
          <w:spacing w:val="-6"/>
        </w:rPr>
        <w:t> </w:t>
      </w:r>
      <w:r>
        <w:rPr/>
        <w:t>(LDAP)",</w:t>
      </w:r>
      <w:r>
        <w:rPr>
          <w:spacing w:val="-6"/>
        </w:rPr>
        <w:t> </w:t>
      </w:r>
      <w:r>
        <w:rPr/>
        <w:t>BCP</w:t>
      </w:r>
      <w:r>
        <w:rPr>
          <w:spacing w:val="-6"/>
        </w:rPr>
        <w:t> </w:t>
      </w:r>
      <w:r>
        <w:rPr/>
        <w:t>64,</w:t>
      </w:r>
      <w:r>
        <w:rPr>
          <w:spacing w:val="-6"/>
        </w:rPr>
        <w:t> </w:t>
      </w:r>
      <w:r>
        <w:rPr/>
        <w:t>RFC</w:t>
      </w:r>
      <w:r>
        <w:rPr>
          <w:spacing w:val="-6"/>
        </w:rPr>
        <w:t> </w:t>
      </w:r>
      <w:r>
        <w:rPr/>
        <w:t>4520,</w:t>
      </w:r>
      <w:r>
        <w:rPr>
          <w:spacing w:val="-6"/>
        </w:rPr>
        <w:t> </w:t>
      </w:r>
      <w:r>
        <w:rPr/>
        <w:t>June</w:t>
      </w:r>
      <w:r>
        <w:rPr>
          <w:spacing w:val="-6"/>
        </w:rPr>
        <w:t> </w:t>
      </w:r>
      <w:r>
        <w:rPr/>
        <w:t>2006.</w:t>
      </w:r>
    </w:p>
    <w:p>
      <w:pPr>
        <w:pStyle w:val="BodyText"/>
        <w:spacing w:before="215"/>
        <w:ind w:left="160"/>
      </w:pPr>
      <w:r>
        <w:rPr/>
        <w:t>Author’s</w:t>
      </w:r>
      <w:r>
        <w:rPr>
          <w:spacing w:val="-8"/>
        </w:rPr>
        <w:t> </w:t>
      </w:r>
      <w:r>
        <w:rPr>
          <w:spacing w:val="-2"/>
        </w:rPr>
        <w:t>Address</w:t>
      </w:r>
    </w:p>
    <w:p>
      <w:pPr>
        <w:pStyle w:val="BodyText"/>
        <w:spacing w:line="232" w:lineRule="auto" w:before="219"/>
        <w:ind w:right="5619"/>
      </w:pPr>
      <w:r>
        <w:rPr/>
        <w:t>Kurt D. Zeilenga OpenLDAP</w:t>
      </w:r>
      <w:r>
        <w:rPr>
          <w:spacing w:val="-32"/>
        </w:rPr>
        <w:t> </w:t>
      </w:r>
      <w:r>
        <w:rPr/>
        <w:t>Foundation</w:t>
      </w:r>
    </w:p>
    <w:p>
      <w:pPr>
        <w:pStyle w:val="BodyText"/>
        <w:spacing w:before="215"/>
      </w:pPr>
      <w:r>
        <w:rPr/>
        <w:t>EMail:</w:t>
      </w:r>
      <w:r>
        <w:rPr>
          <w:spacing w:val="-8"/>
        </w:rPr>
        <w:t> </w:t>
      </w:r>
      <w:hyperlink r:id="rId9">
        <w:r>
          <w:rPr>
            <w:spacing w:val="-2"/>
          </w:rPr>
          <w:t>Kurt@OpenLDAP.org</w:t>
        </w:r>
      </w:hyperlink>
    </w:p>
    <w:p>
      <w:pPr>
        <w:pStyle w:val="BodyText"/>
        <w:spacing w:after="0"/>
        <w:sectPr>
          <w:pgSz w:w="12240" w:h="15840"/>
          <w:pgMar w:header="793" w:footer="2967" w:top="1360" w:bottom="3160" w:left="1440" w:right="1800"/>
        </w:sectPr>
      </w:pPr>
    </w:p>
    <w:p>
      <w:pPr>
        <w:pStyle w:val="BodyText"/>
        <w:spacing w:before="90"/>
        <w:ind w:left="160"/>
      </w:pPr>
      <w:r>
        <w:rPr/>
        <w:t>Full</w:t>
      </w:r>
      <w:r>
        <w:rPr>
          <w:spacing w:val="-7"/>
        </w:rPr>
        <w:t> </w:t>
      </w:r>
      <w:r>
        <w:rPr/>
        <w:t>Copyright</w:t>
      </w:r>
      <w:r>
        <w:rPr>
          <w:spacing w:val="-6"/>
        </w:rPr>
        <w:t> </w:t>
      </w:r>
      <w:r>
        <w:rPr>
          <w:spacing w:val="-2"/>
        </w:rPr>
        <w:t>Statement</w:t>
      </w:r>
    </w:p>
    <w:p>
      <w:pPr>
        <w:pStyle w:val="BodyText"/>
        <w:spacing w:before="213"/>
        <w:jc w:val="both"/>
      </w:pPr>
      <w:r>
        <w:rPr/>
        <w:t>Copyright</w:t>
      </w:r>
      <w:r>
        <w:rPr>
          <w:spacing w:val="-6"/>
        </w:rPr>
        <w:t> </w:t>
      </w:r>
      <w:r>
        <w:rPr/>
        <w:t>(C)</w:t>
      </w:r>
      <w:r>
        <w:rPr>
          <w:spacing w:val="-6"/>
        </w:rPr>
        <w:t> </w:t>
      </w:r>
      <w:r>
        <w:rPr/>
        <w:t>The</w:t>
      </w:r>
      <w:r>
        <w:rPr>
          <w:spacing w:val="-6"/>
        </w:rPr>
        <w:t> </w:t>
      </w:r>
      <w:r>
        <w:rPr/>
        <w:t>Internet</w:t>
      </w:r>
      <w:r>
        <w:rPr>
          <w:spacing w:val="-6"/>
        </w:rPr>
        <w:t> </w:t>
      </w:r>
      <w:r>
        <w:rPr/>
        <w:t>Society</w:t>
      </w:r>
      <w:r>
        <w:rPr>
          <w:spacing w:val="-6"/>
        </w:rPr>
        <w:t> </w:t>
      </w:r>
      <w:r>
        <w:rPr>
          <w:spacing w:val="-2"/>
        </w:rPr>
        <w:t>(2006).</w:t>
      </w:r>
    </w:p>
    <w:p>
      <w:pPr>
        <w:pStyle w:val="BodyText"/>
        <w:spacing w:line="232" w:lineRule="auto" w:before="219"/>
        <w:ind w:right="679"/>
        <w:jc w:val="both"/>
      </w:pPr>
      <w:r>
        <w:rPr/>
        <w:t>This</w:t>
      </w:r>
      <w:r>
        <w:rPr>
          <w:spacing w:val="-5"/>
        </w:rPr>
        <w:t> </w:t>
      </w:r>
      <w:r>
        <w:rPr/>
        <w:t>document</w:t>
      </w:r>
      <w:r>
        <w:rPr>
          <w:spacing w:val="-5"/>
        </w:rPr>
        <w:t> </w:t>
      </w:r>
      <w:r>
        <w:rPr/>
        <w:t>is</w:t>
      </w:r>
      <w:r>
        <w:rPr>
          <w:spacing w:val="-5"/>
        </w:rPr>
        <w:t> </w:t>
      </w:r>
      <w:r>
        <w:rPr/>
        <w:t>subject</w:t>
      </w:r>
      <w:r>
        <w:rPr>
          <w:spacing w:val="-5"/>
        </w:rPr>
        <w:t> </w:t>
      </w:r>
      <w:r>
        <w:rPr/>
        <w:t>to</w:t>
      </w:r>
      <w:r>
        <w:rPr>
          <w:spacing w:val="-5"/>
        </w:rPr>
        <w:t> </w:t>
      </w:r>
      <w:r>
        <w:rPr/>
        <w:t>the</w:t>
      </w:r>
      <w:r>
        <w:rPr>
          <w:spacing w:val="-5"/>
        </w:rPr>
        <w:t> </w:t>
      </w:r>
      <w:r>
        <w:rPr/>
        <w:t>rights,</w:t>
      </w:r>
      <w:r>
        <w:rPr>
          <w:spacing w:val="-5"/>
        </w:rPr>
        <w:t> </w:t>
      </w:r>
      <w:r>
        <w:rPr/>
        <w:t>licenses</w:t>
      </w:r>
      <w:r>
        <w:rPr>
          <w:spacing w:val="-5"/>
        </w:rPr>
        <w:t> </w:t>
      </w:r>
      <w:r>
        <w:rPr/>
        <w:t>and</w:t>
      </w:r>
      <w:r>
        <w:rPr>
          <w:spacing w:val="-5"/>
        </w:rPr>
        <w:t> </w:t>
      </w:r>
      <w:r>
        <w:rPr/>
        <w:t>restrictions contained</w:t>
      </w:r>
      <w:r>
        <w:rPr>
          <w:spacing w:val="-4"/>
        </w:rPr>
        <w:t> </w:t>
      </w:r>
      <w:r>
        <w:rPr/>
        <w:t>in</w:t>
      </w:r>
      <w:r>
        <w:rPr>
          <w:spacing w:val="-4"/>
        </w:rPr>
        <w:t> </w:t>
      </w:r>
      <w:r>
        <w:rPr/>
        <w:t>BCP</w:t>
      </w:r>
      <w:r>
        <w:rPr>
          <w:spacing w:val="-4"/>
        </w:rPr>
        <w:t> </w:t>
      </w:r>
      <w:r>
        <w:rPr/>
        <w:t>78,</w:t>
      </w:r>
      <w:r>
        <w:rPr>
          <w:spacing w:val="-4"/>
        </w:rPr>
        <w:t> </w:t>
      </w:r>
      <w:r>
        <w:rPr/>
        <w:t>and</w:t>
      </w:r>
      <w:r>
        <w:rPr>
          <w:spacing w:val="-4"/>
        </w:rPr>
        <w:t> </w:t>
      </w:r>
      <w:r>
        <w:rPr/>
        <w:t>except</w:t>
      </w:r>
      <w:r>
        <w:rPr>
          <w:spacing w:val="-4"/>
        </w:rPr>
        <w:t> </w:t>
      </w:r>
      <w:r>
        <w:rPr/>
        <w:t>as</w:t>
      </w:r>
      <w:r>
        <w:rPr>
          <w:spacing w:val="-4"/>
        </w:rPr>
        <w:t> </w:t>
      </w:r>
      <w:r>
        <w:rPr/>
        <w:t>set</w:t>
      </w:r>
      <w:r>
        <w:rPr>
          <w:spacing w:val="-4"/>
        </w:rPr>
        <w:t> </w:t>
      </w:r>
      <w:r>
        <w:rPr/>
        <w:t>forth</w:t>
      </w:r>
      <w:r>
        <w:rPr>
          <w:spacing w:val="-4"/>
        </w:rPr>
        <w:t> </w:t>
      </w:r>
      <w:r>
        <w:rPr/>
        <w:t>therein,</w:t>
      </w:r>
      <w:r>
        <w:rPr>
          <w:spacing w:val="-4"/>
        </w:rPr>
        <w:t> </w:t>
      </w:r>
      <w:r>
        <w:rPr/>
        <w:t>the</w:t>
      </w:r>
      <w:r>
        <w:rPr>
          <w:spacing w:val="-4"/>
        </w:rPr>
        <w:t> </w:t>
      </w:r>
      <w:r>
        <w:rPr/>
        <w:t>authors retain all their rights.</w:t>
      </w:r>
    </w:p>
    <w:p>
      <w:pPr>
        <w:pStyle w:val="BodyText"/>
        <w:spacing w:line="232" w:lineRule="auto" w:before="220"/>
        <w:ind w:right="199"/>
      </w:pPr>
      <w:r>
        <w:rPr/>
        <w:t>This</w:t>
      </w:r>
      <w:r>
        <w:rPr>
          <w:spacing w:val="-5"/>
        </w:rPr>
        <w:t> </w:t>
      </w:r>
      <w:r>
        <w:rPr/>
        <w:t>document</w:t>
      </w:r>
      <w:r>
        <w:rPr>
          <w:spacing w:val="-5"/>
        </w:rPr>
        <w:t> </w:t>
      </w:r>
      <w:r>
        <w:rPr/>
        <w:t>and</w:t>
      </w:r>
      <w:r>
        <w:rPr>
          <w:spacing w:val="-5"/>
        </w:rPr>
        <w:t> </w:t>
      </w:r>
      <w:r>
        <w:rPr/>
        <w:t>the</w:t>
      </w:r>
      <w:r>
        <w:rPr>
          <w:spacing w:val="-5"/>
        </w:rPr>
        <w:t> </w:t>
      </w:r>
      <w:r>
        <w:rPr/>
        <w:t>information</w:t>
      </w:r>
      <w:r>
        <w:rPr>
          <w:spacing w:val="-5"/>
        </w:rPr>
        <w:t> </w:t>
      </w:r>
      <w:r>
        <w:rPr/>
        <w:t>contained</w:t>
      </w:r>
      <w:r>
        <w:rPr>
          <w:spacing w:val="-5"/>
        </w:rPr>
        <w:t> </w:t>
      </w:r>
      <w:r>
        <w:rPr/>
        <w:t>herein</w:t>
      </w:r>
      <w:r>
        <w:rPr>
          <w:spacing w:val="-5"/>
        </w:rPr>
        <w:t> </w:t>
      </w:r>
      <w:r>
        <w:rPr/>
        <w:t>are</w:t>
      </w:r>
      <w:r>
        <w:rPr>
          <w:spacing w:val="-5"/>
        </w:rPr>
        <w:t> </w:t>
      </w:r>
      <w:r>
        <w:rPr/>
        <w:t>provided</w:t>
      </w:r>
      <w:r>
        <w:rPr>
          <w:spacing w:val="-5"/>
        </w:rPr>
        <w:t> </w:t>
      </w:r>
      <w:r>
        <w:rPr/>
        <w:t>on</w:t>
      </w:r>
      <w:r>
        <w:rPr>
          <w:spacing w:val="-5"/>
        </w:rPr>
        <w:t> </w:t>
      </w:r>
      <w:r>
        <w:rPr/>
        <w:t>an "AS</w:t>
      </w:r>
      <w:r>
        <w:rPr>
          <w:spacing w:val="-5"/>
        </w:rPr>
        <w:t> </w:t>
      </w:r>
      <w:r>
        <w:rPr/>
        <w:t>IS"</w:t>
      </w:r>
      <w:r>
        <w:rPr>
          <w:spacing w:val="-5"/>
        </w:rPr>
        <w:t> </w:t>
      </w:r>
      <w:r>
        <w:rPr/>
        <w:t>basis</w:t>
      </w:r>
      <w:r>
        <w:rPr>
          <w:spacing w:val="-5"/>
        </w:rPr>
        <w:t> </w:t>
      </w:r>
      <w:r>
        <w:rPr/>
        <w:t>and</w:t>
      </w:r>
      <w:r>
        <w:rPr>
          <w:spacing w:val="-5"/>
        </w:rPr>
        <w:t> </w:t>
      </w:r>
      <w:r>
        <w:rPr/>
        <w:t>THE</w:t>
      </w:r>
      <w:r>
        <w:rPr>
          <w:spacing w:val="-5"/>
        </w:rPr>
        <w:t> </w:t>
      </w:r>
      <w:r>
        <w:rPr/>
        <w:t>CONTRIBUTOR,</w:t>
      </w:r>
      <w:r>
        <w:rPr>
          <w:spacing w:val="-5"/>
        </w:rPr>
        <w:t> </w:t>
      </w:r>
      <w:r>
        <w:rPr/>
        <w:t>THE</w:t>
      </w:r>
      <w:r>
        <w:rPr>
          <w:spacing w:val="-5"/>
        </w:rPr>
        <w:t> </w:t>
      </w:r>
      <w:r>
        <w:rPr/>
        <w:t>ORGANIZATION</w:t>
      </w:r>
      <w:r>
        <w:rPr>
          <w:spacing w:val="-5"/>
        </w:rPr>
        <w:t> </w:t>
      </w:r>
      <w:r>
        <w:rPr/>
        <w:t>HE/SHE</w:t>
      </w:r>
      <w:r>
        <w:rPr>
          <w:spacing w:val="-5"/>
        </w:rPr>
        <w:t> </w:t>
      </w:r>
      <w:r>
        <w:rPr/>
        <w:t>REPRESENTS OR IS SPONSORED BY (IF ANY), THE INTERNET SOCIETY AND THE INTERNET ENGINEERING TASK FORCE DISCLAIM ALL WARRANTIES, EXPRESS OR IMPLIED, INCLUDING BUT NOT LIMITED TO ANY WARRANTY THAT THE USE OF THE INFORMATION HEREIN WILL NOT INFRINGE ANY RIGHTS OR ANY IMPLIED WARRANTIES OF MERCHANTABILITY OR FITNESS FOR A PARTICULAR PURPOSE.</w:t>
      </w:r>
    </w:p>
    <w:p>
      <w:pPr>
        <w:pStyle w:val="BodyText"/>
        <w:spacing w:before="217"/>
        <w:ind w:left="160"/>
      </w:pPr>
      <w:r>
        <w:rPr/>
        <w:t>Intellectual</w:t>
      </w:r>
      <w:r>
        <w:rPr>
          <w:spacing w:val="-12"/>
        </w:rPr>
        <w:t> </w:t>
      </w:r>
      <w:r>
        <w:rPr>
          <w:spacing w:val="-2"/>
        </w:rPr>
        <w:t>Property</w:t>
      </w:r>
    </w:p>
    <w:p>
      <w:pPr>
        <w:pStyle w:val="BodyText"/>
        <w:spacing w:line="232" w:lineRule="auto" w:before="218"/>
        <w:ind w:right="199"/>
      </w:pPr>
      <w:r>
        <w:rPr/>
        <w:t>The IETF takes no position regarding the validity or scope of any Intellectual</w:t>
      </w:r>
      <w:r>
        <w:rPr>
          <w:spacing w:val="-5"/>
        </w:rPr>
        <w:t> </w:t>
      </w:r>
      <w:r>
        <w:rPr/>
        <w:t>Property</w:t>
      </w:r>
      <w:r>
        <w:rPr>
          <w:spacing w:val="-5"/>
        </w:rPr>
        <w:t> </w:t>
      </w:r>
      <w:r>
        <w:rPr/>
        <w:t>Rights</w:t>
      </w:r>
      <w:r>
        <w:rPr>
          <w:spacing w:val="-5"/>
        </w:rPr>
        <w:t> </w:t>
      </w:r>
      <w:r>
        <w:rPr/>
        <w:t>or</w:t>
      </w:r>
      <w:r>
        <w:rPr>
          <w:spacing w:val="-5"/>
        </w:rPr>
        <w:t> </w:t>
      </w:r>
      <w:r>
        <w:rPr/>
        <w:t>other</w:t>
      </w:r>
      <w:r>
        <w:rPr>
          <w:spacing w:val="-5"/>
        </w:rPr>
        <w:t> </w:t>
      </w:r>
      <w:r>
        <w:rPr/>
        <w:t>rights</w:t>
      </w:r>
      <w:r>
        <w:rPr>
          <w:spacing w:val="-5"/>
        </w:rPr>
        <w:t> </w:t>
      </w:r>
      <w:r>
        <w:rPr/>
        <w:t>that</w:t>
      </w:r>
      <w:r>
        <w:rPr>
          <w:spacing w:val="-5"/>
        </w:rPr>
        <w:t> </w:t>
      </w:r>
      <w:r>
        <w:rPr/>
        <w:t>might</w:t>
      </w:r>
      <w:r>
        <w:rPr>
          <w:spacing w:val="-5"/>
        </w:rPr>
        <w:t> </w:t>
      </w:r>
      <w:r>
        <w:rPr/>
        <w:t>be</w:t>
      </w:r>
      <w:r>
        <w:rPr>
          <w:spacing w:val="-5"/>
        </w:rPr>
        <w:t> </w:t>
      </w:r>
      <w:r>
        <w:rPr/>
        <w:t>claimed</w:t>
      </w:r>
      <w:r>
        <w:rPr>
          <w:spacing w:val="-5"/>
        </w:rPr>
        <w:t> </w:t>
      </w:r>
      <w:r>
        <w:rPr/>
        <w:t>to pertain to the implementation or use of the technology described in this document or the extent to which any license under such rights might or might not be available; nor does it represent that it has made</w:t>
      </w:r>
      <w:r>
        <w:rPr>
          <w:spacing w:val="-5"/>
        </w:rPr>
        <w:t> </w:t>
      </w:r>
      <w:r>
        <w:rPr/>
        <w:t>any</w:t>
      </w:r>
      <w:r>
        <w:rPr>
          <w:spacing w:val="-5"/>
        </w:rPr>
        <w:t> </w:t>
      </w:r>
      <w:r>
        <w:rPr/>
        <w:t>independent</w:t>
      </w:r>
      <w:r>
        <w:rPr>
          <w:spacing w:val="-5"/>
        </w:rPr>
        <w:t> </w:t>
      </w:r>
      <w:r>
        <w:rPr/>
        <w:t>effort</w:t>
      </w:r>
      <w:r>
        <w:rPr>
          <w:spacing w:val="-5"/>
        </w:rPr>
        <w:t> </w:t>
      </w:r>
      <w:r>
        <w:rPr/>
        <w:t>to</w:t>
      </w:r>
      <w:r>
        <w:rPr>
          <w:spacing w:val="-5"/>
        </w:rPr>
        <w:t> </w:t>
      </w:r>
      <w:r>
        <w:rPr/>
        <w:t>identify</w:t>
      </w:r>
      <w:r>
        <w:rPr>
          <w:spacing w:val="-5"/>
        </w:rPr>
        <w:t> </w:t>
      </w:r>
      <w:r>
        <w:rPr/>
        <w:t>any</w:t>
      </w:r>
      <w:r>
        <w:rPr>
          <w:spacing w:val="-5"/>
        </w:rPr>
        <w:t> </w:t>
      </w:r>
      <w:r>
        <w:rPr/>
        <w:t>such</w:t>
      </w:r>
      <w:r>
        <w:rPr>
          <w:spacing w:val="-5"/>
        </w:rPr>
        <w:t> </w:t>
      </w:r>
      <w:r>
        <w:rPr/>
        <w:t>rights.</w:t>
      </w:r>
      <w:r>
        <w:rPr>
          <w:spacing w:val="80"/>
        </w:rPr>
        <w:t> </w:t>
      </w:r>
      <w:r>
        <w:rPr/>
        <w:t>Information on the procedures with respect to rights in RFC documents can be found in BCP 78 and BCP 79.</w:t>
      </w:r>
    </w:p>
    <w:p>
      <w:pPr>
        <w:pStyle w:val="BodyText"/>
        <w:spacing w:line="232" w:lineRule="auto" w:before="222"/>
        <w:ind w:right="199"/>
      </w:pPr>
      <w:r>
        <w:rPr/>
        <w:t>Copies of IPR disclosures made to the IETF Secretariat and any assurances of licenses to be made available, or the result of an attempt</w:t>
      </w:r>
      <w:r>
        <w:rPr>
          <w:spacing w:val="-4"/>
        </w:rPr>
        <w:t> </w:t>
      </w:r>
      <w:r>
        <w:rPr/>
        <w:t>made</w:t>
      </w:r>
      <w:r>
        <w:rPr>
          <w:spacing w:val="-4"/>
        </w:rPr>
        <w:t> </w:t>
      </w:r>
      <w:r>
        <w:rPr/>
        <w:t>to</w:t>
      </w:r>
      <w:r>
        <w:rPr>
          <w:spacing w:val="-4"/>
        </w:rPr>
        <w:t> </w:t>
      </w:r>
      <w:r>
        <w:rPr/>
        <w:t>obtain</w:t>
      </w:r>
      <w:r>
        <w:rPr>
          <w:spacing w:val="-4"/>
        </w:rPr>
        <w:t> </w:t>
      </w:r>
      <w:r>
        <w:rPr/>
        <w:t>a</w:t>
      </w:r>
      <w:r>
        <w:rPr>
          <w:spacing w:val="-4"/>
        </w:rPr>
        <w:t> </w:t>
      </w:r>
      <w:r>
        <w:rPr/>
        <w:t>general</w:t>
      </w:r>
      <w:r>
        <w:rPr>
          <w:spacing w:val="-4"/>
        </w:rPr>
        <w:t> </w:t>
      </w:r>
      <w:r>
        <w:rPr/>
        <w:t>license</w:t>
      </w:r>
      <w:r>
        <w:rPr>
          <w:spacing w:val="-4"/>
        </w:rPr>
        <w:t> </w:t>
      </w:r>
      <w:r>
        <w:rPr/>
        <w:t>or</w:t>
      </w:r>
      <w:r>
        <w:rPr>
          <w:spacing w:val="-4"/>
        </w:rPr>
        <w:t> </w:t>
      </w:r>
      <w:r>
        <w:rPr/>
        <w:t>permission</w:t>
      </w:r>
      <w:r>
        <w:rPr>
          <w:spacing w:val="-4"/>
        </w:rPr>
        <w:t> </w:t>
      </w:r>
      <w:r>
        <w:rPr/>
        <w:t>for</w:t>
      </w:r>
      <w:r>
        <w:rPr>
          <w:spacing w:val="-4"/>
        </w:rPr>
        <w:t> </w:t>
      </w:r>
      <w:r>
        <w:rPr/>
        <w:t>the</w:t>
      </w:r>
      <w:r>
        <w:rPr>
          <w:spacing w:val="-4"/>
        </w:rPr>
        <w:t> </w:t>
      </w:r>
      <w:r>
        <w:rPr/>
        <w:t>use</w:t>
      </w:r>
      <w:r>
        <w:rPr>
          <w:spacing w:val="-4"/>
        </w:rPr>
        <w:t> </w:t>
      </w:r>
      <w:r>
        <w:rPr/>
        <w:t>of such proprietary rights by implementers or users of this specification</w:t>
      </w:r>
      <w:r>
        <w:rPr>
          <w:spacing w:val="-5"/>
        </w:rPr>
        <w:t> </w:t>
      </w:r>
      <w:r>
        <w:rPr/>
        <w:t>can</w:t>
      </w:r>
      <w:r>
        <w:rPr>
          <w:spacing w:val="-5"/>
        </w:rPr>
        <w:t> </w:t>
      </w:r>
      <w:r>
        <w:rPr/>
        <w:t>be</w:t>
      </w:r>
      <w:r>
        <w:rPr>
          <w:spacing w:val="-5"/>
        </w:rPr>
        <w:t> </w:t>
      </w:r>
      <w:r>
        <w:rPr/>
        <w:t>obtained</w:t>
      </w:r>
      <w:r>
        <w:rPr>
          <w:spacing w:val="-5"/>
        </w:rPr>
        <w:t> </w:t>
      </w:r>
      <w:r>
        <w:rPr/>
        <w:t>from</w:t>
      </w:r>
      <w:r>
        <w:rPr>
          <w:spacing w:val="-5"/>
        </w:rPr>
        <w:t> </w:t>
      </w:r>
      <w:r>
        <w:rPr/>
        <w:t>the</w:t>
      </w:r>
      <w:r>
        <w:rPr>
          <w:spacing w:val="-5"/>
        </w:rPr>
        <w:t> </w:t>
      </w:r>
      <w:r>
        <w:rPr/>
        <w:t>IETF</w:t>
      </w:r>
      <w:r>
        <w:rPr>
          <w:spacing w:val="-5"/>
        </w:rPr>
        <w:t> </w:t>
      </w:r>
      <w:r>
        <w:rPr/>
        <w:t>on-line</w:t>
      </w:r>
      <w:r>
        <w:rPr>
          <w:spacing w:val="-5"/>
        </w:rPr>
        <w:t> </w:t>
      </w:r>
      <w:r>
        <w:rPr/>
        <w:t>IPR</w:t>
      </w:r>
      <w:r>
        <w:rPr>
          <w:spacing w:val="-5"/>
        </w:rPr>
        <w:t> </w:t>
      </w:r>
      <w:r>
        <w:rPr/>
        <w:t>repository</w:t>
      </w:r>
      <w:r>
        <w:rPr>
          <w:spacing w:val="-5"/>
        </w:rPr>
        <w:t> </w:t>
      </w:r>
      <w:r>
        <w:rPr/>
        <w:t>at </w:t>
      </w:r>
      <w:hyperlink r:id="rId10">
        <w:r>
          <w:rPr>
            <w:spacing w:val="-2"/>
          </w:rPr>
          <w:t>http://www.ietf.org/ipr</w:t>
        </w:r>
      </w:hyperlink>
      <w:r>
        <w:rPr>
          <w:spacing w:val="-2"/>
        </w:rPr>
        <w:t>.</w:t>
      </w:r>
    </w:p>
    <w:p>
      <w:pPr>
        <w:pStyle w:val="BodyText"/>
        <w:spacing w:line="232" w:lineRule="auto" w:before="222"/>
        <w:ind w:right="294"/>
      </w:pPr>
      <w:r>
        <w:rPr/>
        <w:t>The</w:t>
      </w:r>
      <w:r>
        <w:rPr>
          <w:spacing w:val="-4"/>
        </w:rPr>
        <w:t> </w:t>
      </w:r>
      <w:r>
        <w:rPr/>
        <w:t>IETF</w:t>
      </w:r>
      <w:r>
        <w:rPr>
          <w:spacing w:val="-4"/>
        </w:rPr>
        <w:t> </w:t>
      </w:r>
      <w:r>
        <w:rPr/>
        <w:t>invites</w:t>
      </w:r>
      <w:r>
        <w:rPr>
          <w:spacing w:val="-4"/>
        </w:rPr>
        <w:t> </w:t>
      </w:r>
      <w:r>
        <w:rPr/>
        <w:t>any</w:t>
      </w:r>
      <w:r>
        <w:rPr>
          <w:spacing w:val="-4"/>
        </w:rPr>
        <w:t> </w:t>
      </w:r>
      <w:r>
        <w:rPr/>
        <w:t>interested</w:t>
      </w:r>
      <w:r>
        <w:rPr>
          <w:spacing w:val="-4"/>
        </w:rPr>
        <w:t> </w:t>
      </w:r>
      <w:r>
        <w:rPr/>
        <w:t>party</w:t>
      </w:r>
      <w:r>
        <w:rPr>
          <w:spacing w:val="-4"/>
        </w:rPr>
        <w:t> </w:t>
      </w:r>
      <w:r>
        <w:rPr/>
        <w:t>to</w:t>
      </w:r>
      <w:r>
        <w:rPr>
          <w:spacing w:val="-4"/>
        </w:rPr>
        <w:t> </w:t>
      </w:r>
      <w:r>
        <w:rPr/>
        <w:t>bring</w:t>
      </w:r>
      <w:r>
        <w:rPr>
          <w:spacing w:val="-4"/>
        </w:rPr>
        <w:t> </w:t>
      </w:r>
      <w:r>
        <w:rPr/>
        <w:t>to</w:t>
      </w:r>
      <w:r>
        <w:rPr>
          <w:spacing w:val="-4"/>
        </w:rPr>
        <w:t> </w:t>
      </w:r>
      <w:r>
        <w:rPr/>
        <w:t>its</w:t>
      </w:r>
      <w:r>
        <w:rPr>
          <w:spacing w:val="-4"/>
        </w:rPr>
        <w:t> </w:t>
      </w:r>
      <w:r>
        <w:rPr/>
        <w:t>attention</w:t>
      </w:r>
      <w:r>
        <w:rPr>
          <w:spacing w:val="-4"/>
        </w:rPr>
        <w:t> </w:t>
      </w:r>
      <w:r>
        <w:rPr/>
        <w:t>any copyrights, patents or patent applications, or other proprietary rights that may cover technology that may be required to implement this standard.</w:t>
      </w:r>
      <w:r>
        <w:rPr>
          <w:spacing w:val="80"/>
        </w:rPr>
        <w:t> </w:t>
      </w:r>
      <w:r>
        <w:rPr/>
        <w:t>Please address the information to the IETF at</w:t>
      </w:r>
    </w:p>
    <w:p>
      <w:pPr>
        <w:pStyle w:val="BodyText"/>
        <w:spacing w:line="223" w:lineRule="exact"/>
      </w:pPr>
      <w:hyperlink r:id="rId11">
        <w:r>
          <w:rPr>
            <w:spacing w:val="-2"/>
          </w:rPr>
          <w:t>ietf-ipr@ietf.org</w:t>
        </w:r>
      </w:hyperlink>
      <w:r>
        <w:rPr>
          <w:spacing w:val="-2"/>
        </w:rPr>
        <w:t>.</w:t>
      </w:r>
    </w:p>
    <w:p>
      <w:pPr>
        <w:pStyle w:val="BodyText"/>
        <w:spacing w:before="213"/>
        <w:ind w:left="160"/>
      </w:pPr>
      <w:r>
        <w:rPr>
          <w:spacing w:val="-2"/>
        </w:rPr>
        <w:t>Acknowledgement</w:t>
      </w:r>
    </w:p>
    <w:p>
      <w:pPr>
        <w:pStyle w:val="BodyText"/>
        <w:spacing w:line="232" w:lineRule="auto" w:before="219"/>
      </w:pPr>
      <w:r>
        <w:rPr/>
        <w:t>Funding</w:t>
      </w:r>
      <w:r>
        <w:rPr>
          <w:spacing w:val="-5"/>
        </w:rPr>
        <w:t> </w:t>
      </w:r>
      <w:r>
        <w:rPr/>
        <w:t>for</w:t>
      </w:r>
      <w:r>
        <w:rPr>
          <w:spacing w:val="-5"/>
        </w:rPr>
        <w:t> </w:t>
      </w:r>
      <w:r>
        <w:rPr/>
        <w:t>the</w:t>
      </w:r>
      <w:r>
        <w:rPr>
          <w:spacing w:val="-5"/>
        </w:rPr>
        <w:t> </w:t>
      </w:r>
      <w:r>
        <w:rPr/>
        <w:t>RFC</w:t>
      </w:r>
      <w:r>
        <w:rPr>
          <w:spacing w:val="-5"/>
        </w:rPr>
        <w:t> </w:t>
      </w:r>
      <w:r>
        <w:rPr/>
        <w:t>Editor</w:t>
      </w:r>
      <w:r>
        <w:rPr>
          <w:spacing w:val="-5"/>
        </w:rPr>
        <w:t> </w:t>
      </w:r>
      <w:r>
        <w:rPr/>
        <w:t>function</w:t>
      </w:r>
      <w:r>
        <w:rPr>
          <w:spacing w:val="-5"/>
        </w:rPr>
        <w:t> </w:t>
      </w:r>
      <w:r>
        <w:rPr/>
        <w:t>is</w:t>
      </w:r>
      <w:r>
        <w:rPr>
          <w:spacing w:val="-5"/>
        </w:rPr>
        <w:t> </w:t>
      </w:r>
      <w:r>
        <w:rPr/>
        <w:t>provided</w:t>
      </w:r>
      <w:r>
        <w:rPr>
          <w:spacing w:val="-5"/>
        </w:rPr>
        <w:t> </w:t>
      </w:r>
      <w:r>
        <w:rPr/>
        <w:t>by</w:t>
      </w:r>
      <w:r>
        <w:rPr>
          <w:spacing w:val="-5"/>
        </w:rPr>
        <w:t> </w:t>
      </w:r>
      <w:r>
        <w:rPr/>
        <w:t>the</w:t>
      </w:r>
      <w:r>
        <w:rPr>
          <w:spacing w:val="-5"/>
        </w:rPr>
        <w:t> </w:t>
      </w:r>
      <w:r>
        <w:rPr/>
        <w:t>IETF Administrative Support Activity (IASA).</w:t>
      </w:r>
    </w:p>
    <w:sectPr>
      <w:pgSz w:w="12240" w:h="15840"/>
      <w:pgMar w:header="793" w:footer="2967" w:top="1360" w:bottom="3160" w:left="1440" w:right="1800"/>
    </w:sectPr>
  </w:body>
</w:document>
</file>

<file path=word/fontTable.xml><?xml version="1.0" encoding="utf-8"?>
<w:fonts xmlns:r="http://schemas.openxmlformats.org/officeDocument/2006/relationships" xmlns:w="http://schemas.openxmlformats.org/wordprocessingml/2006/main">
  <w:font w:name="Times New Roman">
    <w:altName w:val="Times New Roman"/>
    <w:charset w:val="1"/>
    <w:family w:val="roman"/>
    <w:pitch w:val="variable"/>
  </w:font>
  <w:font w:name="Courier New">
    <w:altName w:val="Courier New"/>
    <w:charset w:val="1"/>
    <w:family w:val="modern"/>
    <w:pitch w:val="default"/>
  </w:font>
</w:fonts>
</file>

<file path=word/footer1.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75200">
              <wp:simplePos x="0" y="0"/>
              <wp:positionH relativeFrom="page">
                <wp:posOffset>1003300</wp:posOffset>
              </wp:positionH>
              <wp:positionV relativeFrom="page">
                <wp:posOffset>8314370</wp:posOffset>
              </wp:positionV>
              <wp:extent cx="635000" cy="169545"/>
              <wp:effectExtent l="0" t="0" r="0" b="0"/>
              <wp:wrapNone/>
              <wp:docPr id="1" name="Textbox 1"/>
              <wp:cNvGraphicFramePr>
                <a:graphicFrameLocks/>
              </wp:cNvGraphicFramePr>
              <a:graphic>
                <a:graphicData uri="http://schemas.microsoft.com/office/word/2010/wordprocessingShape">
                  <wps:wsp>
                    <wps:cNvPr id="1" name="Textbox 1"/>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type id="_x0000_t202" o:spt="202" coordsize="21600,21600" path="m,l,21600r21600,l21600,xe">
              <v:stroke joinstyle="miter"/>
              <v:path gradientshapeok="t" o:connecttype="rect"/>
            </v:shapetype>
            <v:shape style="position:absolute;margin-left:79pt;margin-top:654.674805pt;width:50pt;height:13.35pt;mso-position-horizontal-relative:page;mso-position-vertical-relative:page;z-index:-15841280" type="#_x0000_t202" id="docshape1"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75712">
              <wp:simplePos x="0" y="0"/>
              <wp:positionH relativeFrom="page">
                <wp:posOffset>3136900</wp:posOffset>
              </wp:positionH>
              <wp:positionV relativeFrom="page">
                <wp:posOffset>8314370</wp:posOffset>
              </wp:positionV>
              <wp:extent cx="1168400" cy="169545"/>
              <wp:effectExtent l="0" t="0" r="0" b="0"/>
              <wp:wrapNone/>
              <wp:docPr id="2" name="Textbox 2"/>
              <wp:cNvGraphicFramePr>
                <a:graphicFrameLocks/>
              </wp:cNvGraphicFramePr>
              <a:graphic>
                <a:graphicData uri="http://schemas.microsoft.com/office/word/2010/wordprocessingShape">
                  <wps:wsp>
                    <wps:cNvPr id="2" name="Textbox 2"/>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54.674805pt;width:92pt;height:13.35pt;mso-position-horizontal-relative:page;mso-position-vertical-relative:page;z-index:-15840768" type="#_x0000_t202" id="docshape2"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76224">
              <wp:simplePos x="0" y="0"/>
              <wp:positionH relativeFrom="page">
                <wp:posOffset>5880100</wp:posOffset>
              </wp:positionH>
              <wp:positionV relativeFrom="page">
                <wp:posOffset>8314370</wp:posOffset>
              </wp:positionV>
              <wp:extent cx="635000" cy="169545"/>
              <wp:effectExtent l="0" t="0" r="0" b="0"/>
              <wp:wrapNone/>
              <wp:docPr id="3" name="Textbox 3"/>
              <wp:cNvGraphicFramePr>
                <a:graphicFrameLocks/>
              </wp:cNvGraphicFramePr>
              <a:graphic>
                <a:graphicData uri="http://schemas.microsoft.com/office/word/2010/wordprocessingShape">
                  <wps:wsp>
                    <wps:cNvPr id="3" name="Textbox 3"/>
                    <wps:cNvSpPr txBox="1"/>
                    <wps:spPr>
                      <a:xfrm>
                        <a:off x="0" y="0"/>
                        <a:ext cx="635000" cy="169545"/>
                      </a:xfrm>
                      <a:prstGeom prst="rect">
                        <a:avLst/>
                      </a:prstGeom>
                    </wps:spPr>
                    <wps:txbx>
                      <w:txbxContent>
                        <w:p>
                          <w:pPr>
                            <w:pStyle w:val="BodyText"/>
                            <w:spacing w:before="20"/>
                            <w:ind w:left="20"/>
                          </w:pPr>
                          <w:r>
                            <w:rPr/>
                            <w:t>[Page</w:t>
                          </w:r>
                          <w:r>
                            <w:rPr>
                              <w:spacing w:val="-5"/>
                            </w:rPr>
                            <w:t> 1]</w:t>
                          </w:r>
                        </w:p>
                      </w:txbxContent>
                    </wps:txbx>
                    <wps:bodyPr wrap="square" lIns="0" tIns="0" rIns="0" bIns="0" rtlCol="0">
                      <a:noAutofit/>
                    </wps:bodyPr>
                  </wps:wsp>
                </a:graphicData>
              </a:graphic>
            </wp:anchor>
          </w:drawing>
        </mc:Choice>
        <mc:Fallback>
          <w:pict>
            <v:shape style="position:absolute;margin-left:463.000031pt;margin-top:654.674805pt;width:50pt;height:13.35pt;mso-position-horizontal-relative:page;mso-position-vertical-relative:page;z-index:-15840256" type="#_x0000_t202" id="docshape3" filled="false" stroked="false">
              <v:textbox inset="0,0,0,0">
                <w:txbxContent>
                  <w:p>
                    <w:pPr>
                      <w:pStyle w:val="BodyText"/>
                      <w:spacing w:before="20"/>
                      <w:ind w:left="20"/>
                    </w:pPr>
                    <w:r>
                      <w:rPr/>
                      <w:t>[Page</w:t>
                    </w:r>
                    <w:r>
                      <w:rPr>
                        <w:spacing w:val="-5"/>
                      </w:rPr>
                      <w:t> 1]</w:t>
                    </w:r>
                  </w:p>
                </w:txbxContent>
              </v:textbox>
              <w10:wrap type="none"/>
            </v:shape>
          </w:pict>
        </mc:Fallback>
      </mc:AlternateContent>
    </w:r>
  </w:p>
</w:ftr>
</file>

<file path=word/footer2.xml><?xml version="1.0" encoding="utf-8"?>
<w:ft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78272">
              <wp:simplePos x="0" y="0"/>
              <wp:positionH relativeFrom="page">
                <wp:posOffset>1003300</wp:posOffset>
              </wp:positionH>
              <wp:positionV relativeFrom="page">
                <wp:posOffset>8034970</wp:posOffset>
              </wp:positionV>
              <wp:extent cx="635000" cy="169545"/>
              <wp:effectExtent l="0" t="0" r="0" b="0"/>
              <wp:wrapNone/>
              <wp:docPr id="7" name="Textbox 7"/>
              <wp:cNvGraphicFramePr>
                <a:graphicFrameLocks/>
              </wp:cNvGraphicFramePr>
              <a:graphic>
                <a:graphicData uri="http://schemas.microsoft.com/office/word/2010/wordprocessingShape">
                  <wps:wsp>
                    <wps:cNvPr id="7" name="Textbox 7"/>
                    <wps:cNvSpPr txBox="1"/>
                    <wps:spPr>
                      <a:xfrm>
                        <a:off x="0" y="0"/>
                        <a:ext cx="635000" cy="169545"/>
                      </a:xfrm>
                      <a:prstGeom prst="rect">
                        <a:avLst/>
                      </a:prstGeom>
                    </wps:spPr>
                    <wps:txbx>
                      <w:txbxContent>
                        <w:p>
                          <w:pPr>
                            <w:pStyle w:val="BodyText"/>
                            <w:spacing w:before="20"/>
                            <w:ind w:left="20"/>
                          </w:pPr>
                          <w:r>
                            <w:rPr>
                              <w:spacing w:val="-2"/>
                            </w:rPr>
                            <w:t>Zeilenga</w:t>
                          </w:r>
                        </w:p>
                      </w:txbxContent>
                    </wps:txbx>
                    <wps:bodyPr wrap="square" lIns="0" tIns="0" rIns="0" bIns="0" rtlCol="0">
                      <a:noAutofit/>
                    </wps:bodyPr>
                  </wps:wsp>
                </a:graphicData>
              </a:graphic>
            </wp:anchor>
          </w:drawing>
        </mc:Choice>
        <mc:Fallback>
          <w:pict>
            <v:shape style="position:absolute;margin-left:79pt;margin-top:632.674805pt;width:50pt;height:13.35pt;mso-position-horizontal-relative:page;mso-position-vertical-relative:page;z-index:-15838208" type="#_x0000_t202" id="docshape7" filled="false" stroked="false">
              <v:textbox inset="0,0,0,0">
                <w:txbxContent>
                  <w:p>
                    <w:pPr>
                      <w:pStyle w:val="BodyText"/>
                      <w:spacing w:before="20"/>
                      <w:ind w:left="20"/>
                    </w:pPr>
                    <w:r>
                      <w:rPr>
                        <w:spacing w:val="-2"/>
                      </w:rPr>
                      <w:t>Zeilenga</w:t>
                    </w:r>
                  </w:p>
                </w:txbxContent>
              </v:textbox>
              <w10:wrap type="none"/>
            </v:shape>
          </w:pict>
        </mc:Fallback>
      </mc:AlternateContent>
    </w:r>
    <w:r>
      <w:rPr/>
      <mc:AlternateContent>
        <mc:Choice Requires="wps">
          <w:drawing>
            <wp:anchor distT="0" distB="0" distL="0" distR="0" allowOverlap="1" layoutInCell="1" locked="0" behindDoc="1" simplePos="0" relativeHeight="487478784">
              <wp:simplePos x="0" y="0"/>
              <wp:positionH relativeFrom="page">
                <wp:posOffset>3136900</wp:posOffset>
              </wp:positionH>
              <wp:positionV relativeFrom="page">
                <wp:posOffset>8034970</wp:posOffset>
              </wp:positionV>
              <wp:extent cx="1168400" cy="169545"/>
              <wp:effectExtent l="0" t="0" r="0" b="0"/>
              <wp:wrapNone/>
              <wp:docPr id="8" name="Textbox 8"/>
              <wp:cNvGraphicFramePr>
                <a:graphicFrameLocks/>
              </wp:cNvGraphicFramePr>
              <a:graphic>
                <a:graphicData uri="http://schemas.microsoft.com/office/word/2010/wordprocessingShape">
                  <wps:wsp>
                    <wps:cNvPr id="8" name="Textbox 8"/>
                    <wps:cNvSpPr txBox="1"/>
                    <wps:spPr>
                      <a:xfrm>
                        <a:off x="0" y="0"/>
                        <a:ext cx="1168400" cy="169545"/>
                      </a:xfrm>
                      <a:prstGeom prst="rect">
                        <a:avLst/>
                      </a:prstGeom>
                    </wps:spPr>
                    <wps:txbx>
                      <w:txbxContent>
                        <w:p>
                          <w:pPr>
                            <w:pStyle w:val="BodyText"/>
                            <w:spacing w:before="20"/>
                            <w:ind w:left="20"/>
                          </w:pPr>
                          <w:r>
                            <w:rPr/>
                            <w:t>Standards</w:t>
                          </w:r>
                          <w:r>
                            <w:rPr>
                              <w:spacing w:val="-9"/>
                            </w:rPr>
                            <w:t> </w:t>
                          </w:r>
                          <w:r>
                            <w:rPr>
                              <w:spacing w:val="-2"/>
                            </w:rPr>
                            <w:t>Track</w:t>
                          </w:r>
                        </w:p>
                      </w:txbxContent>
                    </wps:txbx>
                    <wps:bodyPr wrap="square" lIns="0" tIns="0" rIns="0" bIns="0" rtlCol="0">
                      <a:noAutofit/>
                    </wps:bodyPr>
                  </wps:wsp>
                </a:graphicData>
              </a:graphic>
            </wp:anchor>
          </w:drawing>
        </mc:Choice>
        <mc:Fallback>
          <w:pict>
            <v:shape style="position:absolute;margin-left:247.000015pt;margin-top:632.674805pt;width:92pt;height:13.35pt;mso-position-horizontal-relative:page;mso-position-vertical-relative:page;z-index:-15837696" type="#_x0000_t202" id="docshape8" filled="false" stroked="false">
              <v:textbox inset="0,0,0,0">
                <w:txbxContent>
                  <w:p>
                    <w:pPr>
                      <w:pStyle w:val="BodyText"/>
                      <w:spacing w:before="20"/>
                      <w:ind w:left="20"/>
                    </w:pPr>
                    <w:r>
                      <w:rPr/>
                      <w:t>Standards</w:t>
                    </w:r>
                    <w:r>
                      <w:rPr>
                        <w:spacing w:val="-9"/>
                      </w:rPr>
                      <w:t> </w:t>
                    </w:r>
                    <w:r>
                      <w:rPr>
                        <w:spacing w:val="-2"/>
                      </w:rPr>
                      <w:t>Track</w:t>
                    </w:r>
                  </w:p>
                </w:txbxContent>
              </v:textbox>
              <w10:wrap type="none"/>
            </v:shape>
          </w:pict>
        </mc:Fallback>
      </mc:AlternateContent>
    </w:r>
    <w:r>
      <w:rPr/>
      <mc:AlternateContent>
        <mc:Choice Requires="wps">
          <w:drawing>
            <wp:anchor distT="0" distB="0" distL="0" distR="0" allowOverlap="1" layoutInCell="1" locked="0" behindDoc="1" simplePos="0" relativeHeight="487479296">
              <wp:simplePos x="0" y="0"/>
              <wp:positionH relativeFrom="page">
                <wp:posOffset>5880100</wp:posOffset>
              </wp:positionH>
              <wp:positionV relativeFrom="page">
                <wp:posOffset>8034970</wp:posOffset>
              </wp:positionV>
              <wp:extent cx="635000" cy="169545"/>
              <wp:effectExtent l="0" t="0" r="0" b="0"/>
              <wp:wrapNone/>
              <wp:docPr id="9" name="Textbox 9"/>
              <wp:cNvGraphicFramePr>
                <a:graphicFrameLocks/>
              </wp:cNvGraphicFramePr>
              <a:graphic>
                <a:graphicData uri="http://schemas.microsoft.com/office/word/2010/wordprocessingShape">
                  <wps:wsp>
                    <wps:cNvPr id="9" name="Textbox 9"/>
                    <wps:cNvSpPr txBox="1"/>
                    <wps:spPr>
                      <a:xfrm>
                        <a:off x="0" y="0"/>
                        <a:ext cx="635000" cy="169545"/>
                      </a:xfrm>
                      <a:prstGeom prst="rect">
                        <a:avLst/>
                      </a:prstGeom>
                    </wps:spPr>
                    <wps:txbx>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wps:txbx>
                    <wps:bodyPr wrap="square" lIns="0" tIns="0" rIns="0" bIns="0" rtlCol="0">
                      <a:noAutofit/>
                    </wps:bodyPr>
                  </wps:wsp>
                </a:graphicData>
              </a:graphic>
            </wp:anchor>
          </w:drawing>
        </mc:Choice>
        <mc:Fallback>
          <w:pict>
            <v:shape style="position:absolute;margin-left:463.000031pt;margin-top:632.674805pt;width:50pt;height:13.35pt;mso-position-horizontal-relative:page;mso-position-vertical-relative:page;z-index:-15837184" type="#_x0000_t202" id="docshape9" filled="false" stroked="false">
              <v:textbox inset="0,0,0,0">
                <w:txbxContent>
                  <w:p>
                    <w:pPr>
                      <w:pStyle w:val="BodyText"/>
                      <w:spacing w:before="20"/>
                      <w:ind w:left="20"/>
                    </w:pPr>
                    <w:r>
                      <w:rPr/>
                      <w:t>[Page</w:t>
                    </w:r>
                    <w:r>
                      <w:rPr>
                        <w:spacing w:val="-5"/>
                      </w:rPr>
                      <w:t> </w:t>
                    </w:r>
                    <w:r>
                      <w:rPr>
                        <w:spacing w:val="-5"/>
                      </w:rPr>
                      <w:fldChar w:fldCharType="begin"/>
                    </w:r>
                    <w:r>
                      <w:rPr>
                        <w:spacing w:val="-5"/>
                      </w:rPr>
                      <w:instrText> PAGE </w:instrText>
                    </w:r>
                    <w:r>
                      <w:rPr>
                        <w:spacing w:val="-5"/>
                      </w:rPr>
                      <w:fldChar w:fldCharType="separate"/>
                    </w:r>
                    <w:r>
                      <w:rPr>
                        <w:spacing w:val="-5"/>
                      </w:rPr>
                      <w:t>2</w:t>
                    </w:r>
                    <w:r>
                      <w:rPr>
                        <w:spacing w:val="-5"/>
                      </w:rPr>
                      <w:fldChar w:fldCharType="end"/>
                    </w:r>
                    <w:r>
                      <w:rPr>
                        <w:spacing w:val="-5"/>
                      </w:rPr>
                      <w:t>]</w:t>
                    </w:r>
                  </w:p>
                </w:txbxContent>
              </v:textbox>
              <w10:wrap type="none"/>
            </v:shape>
          </w:pict>
        </mc:Fallback>
      </mc:AlternateContent>
    </w:r>
  </w:p>
</w:ftr>
</file>

<file path=word/header1.xml><?xml version="1.0" encoding="utf-8"?>
<w:hdr xmlns:mc="http://schemas.openxmlformats.org/markup-compatibility/2006"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a="http://schemas.openxmlformats.org/drawingml/2006/main" xmlns:pic="http://schemas.openxmlformats.org/drawingml/2006/picture" xmlns:wpg="http://schemas.microsoft.com/office/word/2010/wordprocessingGroup" xmlns:wps="http://schemas.microsoft.com/office/word/2010/wordprocessingShape" xmlns:w14="http://schemas.microsoft.com/office/word/2010/wordml" mc:Ignorable="w14" xml:space="preserve">
  <w:p>
    <w:pPr>
      <w:pStyle w:val="BodyText"/>
      <w:spacing w:line="14" w:lineRule="auto"/>
      <w:ind w:left="0"/>
    </w:pPr>
    <w:r>
      <w:rPr/>
      <mc:AlternateContent>
        <mc:Choice Requires="wps">
          <w:drawing>
            <wp:anchor distT="0" distB="0" distL="0" distR="0" allowOverlap="1" layoutInCell="1" locked="0" behindDoc="1" simplePos="0" relativeHeight="487476736">
              <wp:simplePos x="0" y="0"/>
              <wp:positionH relativeFrom="page">
                <wp:posOffset>1003300</wp:posOffset>
              </wp:positionH>
              <wp:positionV relativeFrom="page">
                <wp:posOffset>491170</wp:posOffset>
              </wp:positionV>
              <wp:extent cx="635000" cy="169545"/>
              <wp:effectExtent l="0" t="0" r="0" b="0"/>
              <wp:wrapNone/>
              <wp:docPr id="4" name="Textbox 4"/>
              <wp:cNvGraphicFramePr>
                <a:graphicFrameLocks/>
              </wp:cNvGraphicFramePr>
              <a:graphic>
                <a:graphicData uri="http://schemas.microsoft.com/office/word/2010/wordprocessingShape">
                  <wps:wsp>
                    <wps:cNvPr id="4" name="Textbox 4"/>
                    <wps:cNvSpPr txBox="1"/>
                    <wps:spPr>
                      <a:xfrm>
                        <a:off x="0" y="0"/>
                        <a:ext cx="635000" cy="169545"/>
                      </a:xfrm>
                      <a:prstGeom prst="rect">
                        <a:avLst/>
                      </a:prstGeom>
                    </wps:spPr>
                    <wps:txbx>
                      <w:txbxContent>
                        <w:p>
                          <w:pPr>
                            <w:pStyle w:val="BodyText"/>
                            <w:spacing w:before="20"/>
                            <w:ind w:left="20"/>
                          </w:pPr>
                          <w:r>
                            <w:rPr/>
                            <w:t>RFC</w:t>
                          </w:r>
                          <w:r>
                            <w:rPr>
                              <w:spacing w:val="-3"/>
                            </w:rPr>
                            <w:t> </w:t>
                          </w:r>
                          <w:r>
                            <w:rPr>
                              <w:spacing w:val="-4"/>
                            </w:rPr>
                            <w:t>4530</w:t>
                          </w:r>
                        </w:p>
                      </w:txbxContent>
                    </wps:txbx>
                    <wps:bodyPr wrap="square" lIns="0" tIns="0" rIns="0" bIns="0" rtlCol="0">
                      <a:noAutofit/>
                    </wps:bodyPr>
                  </wps:wsp>
                </a:graphicData>
              </a:graphic>
            </wp:anchor>
          </w:drawing>
        </mc:Choice>
        <mc:Fallback>
          <w:pict>
            <v:shape style="position:absolute;margin-left:79pt;margin-top:38.674805pt;width:50pt;height:13.35pt;mso-position-horizontal-relative:page;mso-position-vertical-relative:page;z-index:-15839744" type="#_x0000_t202" id="docshape4" filled="false" stroked="false">
              <v:textbox inset="0,0,0,0">
                <w:txbxContent>
                  <w:p>
                    <w:pPr>
                      <w:pStyle w:val="BodyText"/>
                      <w:spacing w:before="20"/>
                      <w:ind w:left="20"/>
                    </w:pPr>
                    <w:r>
                      <w:rPr/>
                      <w:t>RFC</w:t>
                    </w:r>
                    <w:r>
                      <w:rPr>
                        <w:spacing w:val="-3"/>
                      </w:rPr>
                      <w:t> </w:t>
                    </w:r>
                    <w:r>
                      <w:rPr>
                        <w:spacing w:val="-4"/>
                      </w:rPr>
                      <w:t>4530</w:t>
                    </w:r>
                  </w:p>
                </w:txbxContent>
              </v:textbox>
              <w10:wrap type="none"/>
            </v:shape>
          </w:pict>
        </mc:Fallback>
      </mc:AlternateContent>
    </w:r>
    <w:r>
      <w:rPr/>
      <mc:AlternateContent>
        <mc:Choice Requires="wps">
          <w:drawing>
            <wp:anchor distT="0" distB="0" distL="0" distR="0" allowOverlap="1" layoutInCell="1" locked="0" behindDoc="1" simplePos="0" relativeHeight="487477248">
              <wp:simplePos x="0" y="0"/>
              <wp:positionH relativeFrom="page">
                <wp:posOffset>3213100</wp:posOffset>
              </wp:positionH>
              <wp:positionV relativeFrom="page">
                <wp:posOffset>491170</wp:posOffset>
              </wp:positionV>
              <wp:extent cx="1092200" cy="169545"/>
              <wp:effectExtent l="0" t="0" r="0" b="0"/>
              <wp:wrapNone/>
              <wp:docPr id="5" name="Textbox 5"/>
              <wp:cNvGraphicFramePr>
                <a:graphicFrameLocks/>
              </wp:cNvGraphicFramePr>
              <a:graphic>
                <a:graphicData uri="http://schemas.microsoft.com/office/word/2010/wordprocessingShape">
                  <wps:wsp>
                    <wps:cNvPr id="5" name="Textbox 5"/>
                    <wps:cNvSpPr txBox="1"/>
                    <wps:spPr>
                      <a:xfrm>
                        <a:off x="0" y="0"/>
                        <a:ext cx="1092200" cy="169545"/>
                      </a:xfrm>
                      <a:prstGeom prst="rect">
                        <a:avLst/>
                      </a:prstGeom>
                    </wps:spPr>
                    <wps:txbx>
                      <w:txbxContent>
                        <w:p>
                          <w:pPr>
                            <w:pStyle w:val="BodyText"/>
                            <w:spacing w:before="20"/>
                            <w:ind w:left="20"/>
                          </w:pPr>
                          <w:r>
                            <w:rPr/>
                            <w:t>LDAP</w:t>
                          </w:r>
                          <w:r>
                            <w:rPr>
                              <w:spacing w:val="-4"/>
                            </w:rPr>
                            <w:t> </w:t>
                          </w:r>
                          <w:r>
                            <w:rPr>
                              <w:spacing w:val="-2"/>
                            </w:rPr>
                            <w:t>entryUUID</w:t>
                          </w:r>
                        </w:p>
                      </w:txbxContent>
                    </wps:txbx>
                    <wps:bodyPr wrap="square" lIns="0" tIns="0" rIns="0" bIns="0" rtlCol="0">
                      <a:noAutofit/>
                    </wps:bodyPr>
                  </wps:wsp>
                </a:graphicData>
              </a:graphic>
            </wp:anchor>
          </w:drawing>
        </mc:Choice>
        <mc:Fallback>
          <w:pict>
            <v:shape style="position:absolute;margin-left:253.000015pt;margin-top:38.674805pt;width:86pt;height:13.35pt;mso-position-horizontal-relative:page;mso-position-vertical-relative:page;z-index:-15839232" type="#_x0000_t202" id="docshape5" filled="false" stroked="false">
              <v:textbox inset="0,0,0,0">
                <w:txbxContent>
                  <w:p>
                    <w:pPr>
                      <w:pStyle w:val="BodyText"/>
                      <w:spacing w:before="20"/>
                      <w:ind w:left="20"/>
                    </w:pPr>
                    <w:r>
                      <w:rPr/>
                      <w:t>LDAP</w:t>
                    </w:r>
                    <w:r>
                      <w:rPr>
                        <w:spacing w:val="-4"/>
                      </w:rPr>
                      <w:t> </w:t>
                    </w:r>
                    <w:r>
                      <w:rPr>
                        <w:spacing w:val="-2"/>
                      </w:rPr>
                      <w:t>entryUUID</w:t>
                    </w:r>
                  </w:p>
                </w:txbxContent>
              </v:textbox>
              <w10:wrap type="none"/>
            </v:shape>
          </w:pict>
        </mc:Fallback>
      </mc:AlternateContent>
    </w:r>
    <w:r>
      <w:rPr/>
      <mc:AlternateContent>
        <mc:Choice Requires="wps">
          <w:drawing>
            <wp:anchor distT="0" distB="0" distL="0" distR="0" allowOverlap="1" layoutInCell="1" locked="0" behindDoc="1" simplePos="0" relativeHeight="487477760">
              <wp:simplePos x="0" y="0"/>
              <wp:positionH relativeFrom="page">
                <wp:posOffset>5803900</wp:posOffset>
              </wp:positionH>
              <wp:positionV relativeFrom="page">
                <wp:posOffset>491170</wp:posOffset>
              </wp:positionV>
              <wp:extent cx="711200" cy="169545"/>
              <wp:effectExtent l="0" t="0" r="0" b="0"/>
              <wp:wrapNone/>
              <wp:docPr id="6" name="Textbox 6"/>
              <wp:cNvGraphicFramePr>
                <a:graphicFrameLocks/>
              </wp:cNvGraphicFramePr>
              <a:graphic>
                <a:graphicData uri="http://schemas.microsoft.com/office/word/2010/wordprocessingShape">
                  <wps:wsp>
                    <wps:cNvPr id="6" name="Textbox 6"/>
                    <wps:cNvSpPr txBox="1"/>
                    <wps:spPr>
                      <a:xfrm>
                        <a:off x="0" y="0"/>
                        <a:ext cx="711200" cy="169545"/>
                      </a:xfrm>
                      <a:prstGeom prst="rect">
                        <a:avLst/>
                      </a:prstGeom>
                    </wps:spPr>
                    <wps:txbx>
                      <w:txbxContent>
                        <w:p>
                          <w:pPr>
                            <w:pStyle w:val="BodyText"/>
                            <w:spacing w:before="20"/>
                            <w:ind w:left="20"/>
                          </w:pPr>
                          <w:r>
                            <w:rPr/>
                            <w:t>June</w:t>
                          </w:r>
                          <w:r>
                            <w:rPr>
                              <w:spacing w:val="-4"/>
                            </w:rPr>
                            <w:t> 2006</w:t>
                          </w:r>
                        </w:p>
                      </w:txbxContent>
                    </wps:txbx>
                    <wps:bodyPr wrap="square" lIns="0" tIns="0" rIns="0" bIns="0" rtlCol="0">
                      <a:noAutofit/>
                    </wps:bodyPr>
                  </wps:wsp>
                </a:graphicData>
              </a:graphic>
            </wp:anchor>
          </w:drawing>
        </mc:Choice>
        <mc:Fallback>
          <w:pict>
            <v:shape style="position:absolute;margin-left:457.000031pt;margin-top:38.674805pt;width:56pt;height:13.35pt;mso-position-horizontal-relative:page;mso-position-vertical-relative:page;z-index:-15838720" type="#_x0000_t202" id="docshape6" filled="false" stroked="false">
              <v:textbox inset="0,0,0,0">
                <w:txbxContent>
                  <w:p>
                    <w:pPr>
                      <w:pStyle w:val="BodyText"/>
                      <w:spacing w:before="20"/>
                      <w:ind w:left="20"/>
                    </w:pPr>
                    <w:r>
                      <w:rPr/>
                      <w:t>June</w:t>
                    </w:r>
                    <w:r>
                      <w:rPr>
                        <w:spacing w:val="-4"/>
                      </w:rPr>
                      <w:t> 2006</w:t>
                    </w:r>
                  </w:p>
                </w:txbxContent>
              </v:textbox>
              <w10:wrap type="none"/>
            </v:shape>
          </w:pict>
        </mc:Fallback>
      </mc:AlternateContent>
    </w: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1">
    <w:multiLevelType w:val="hybridMultilevel"/>
    <w:lvl w:ilvl="0">
      <w:start w:val="1"/>
      <w:numFmt w:val="decimal"/>
      <w:lvlText w:val="%1."/>
      <w:lvlJc w:val="left"/>
      <w:pPr>
        <w:ind w:left="640" w:hanging="48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880" w:hanging="72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1782" w:hanging="720"/>
      </w:pPr>
      <w:rPr>
        <w:rFonts w:hint="default"/>
        <w:lang w:val="en-US" w:eastAsia="en-US" w:bidi="ar-SA"/>
      </w:rPr>
    </w:lvl>
    <w:lvl w:ilvl="3">
      <w:start w:val="0"/>
      <w:numFmt w:val="bullet"/>
      <w:lvlText w:val="•"/>
      <w:lvlJc w:val="left"/>
      <w:pPr>
        <w:ind w:left="2684" w:hanging="720"/>
      </w:pPr>
      <w:rPr>
        <w:rFonts w:hint="default"/>
        <w:lang w:val="en-US" w:eastAsia="en-US" w:bidi="ar-SA"/>
      </w:rPr>
    </w:lvl>
    <w:lvl w:ilvl="4">
      <w:start w:val="0"/>
      <w:numFmt w:val="bullet"/>
      <w:lvlText w:val="•"/>
      <w:lvlJc w:val="left"/>
      <w:pPr>
        <w:ind w:left="3586" w:hanging="720"/>
      </w:pPr>
      <w:rPr>
        <w:rFonts w:hint="default"/>
        <w:lang w:val="en-US" w:eastAsia="en-US" w:bidi="ar-SA"/>
      </w:rPr>
    </w:lvl>
    <w:lvl w:ilvl="5">
      <w:start w:val="0"/>
      <w:numFmt w:val="bullet"/>
      <w:lvlText w:val="•"/>
      <w:lvlJc w:val="left"/>
      <w:pPr>
        <w:ind w:left="4488" w:hanging="720"/>
      </w:pPr>
      <w:rPr>
        <w:rFonts w:hint="default"/>
        <w:lang w:val="en-US" w:eastAsia="en-US" w:bidi="ar-SA"/>
      </w:rPr>
    </w:lvl>
    <w:lvl w:ilvl="6">
      <w:start w:val="0"/>
      <w:numFmt w:val="bullet"/>
      <w:lvlText w:val="•"/>
      <w:lvlJc w:val="left"/>
      <w:pPr>
        <w:ind w:left="5391" w:hanging="720"/>
      </w:pPr>
      <w:rPr>
        <w:rFonts w:hint="default"/>
        <w:lang w:val="en-US" w:eastAsia="en-US" w:bidi="ar-SA"/>
      </w:rPr>
    </w:lvl>
    <w:lvl w:ilvl="7">
      <w:start w:val="0"/>
      <w:numFmt w:val="bullet"/>
      <w:lvlText w:val="•"/>
      <w:lvlJc w:val="left"/>
      <w:pPr>
        <w:ind w:left="6293" w:hanging="720"/>
      </w:pPr>
      <w:rPr>
        <w:rFonts w:hint="default"/>
        <w:lang w:val="en-US" w:eastAsia="en-US" w:bidi="ar-SA"/>
      </w:rPr>
    </w:lvl>
    <w:lvl w:ilvl="8">
      <w:start w:val="0"/>
      <w:numFmt w:val="bullet"/>
      <w:lvlText w:val="•"/>
      <w:lvlJc w:val="left"/>
      <w:pPr>
        <w:ind w:left="7195" w:hanging="720"/>
      </w:pPr>
      <w:rPr>
        <w:rFonts w:hint="default"/>
        <w:lang w:val="en-US" w:eastAsia="en-US" w:bidi="ar-SA"/>
      </w:rPr>
    </w:lvl>
  </w:abstractNum>
  <w:abstractNum w:abstractNumId="0">
    <w:multiLevelType w:val="hybridMultilevel"/>
    <w:lvl w:ilvl="0">
      <w:start w:val="1"/>
      <w:numFmt w:val="decimal"/>
      <w:lvlText w:val="%1."/>
      <w:lvlJc w:val="left"/>
      <w:pPr>
        <w:ind w:left="880" w:hanging="360"/>
        <w:jc w:val="left"/>
      </w:pPr>
      <w:rPr>
        <w:rFonts w:hint="default" w:ascii="Courier New" w:hAnsi="Courier New" w:eastAsia="Courier New" w:cs="Courier New"/>
        <w:b w:val="0"/>
        <w:bCs w:val="0"/>
        <w:i w:val="0"/>
        <w:iCs w:val="0"/>
        <w:spacing w:val="-1"/>
        <w:w w:val="100"/>
        <w:sz w:val="20"/>
        <w:szCs w:val="20"/>
        <w:lang w:val="en-US" w:eastAsia="en-US" w:bidi="ar-SA"/>
      </w:rPr>
    </w:lvl>
    <w:lvl w:ilvl="1">
      <w:start w:val="1"/>
      <w:numFmt w:val="decimal"/>
      <w:lvlText w:val="%1.%2."/>
      <w:lvlJc w:val="left"/>
      <w:pPr>
        <w:ind w:left="1480" w:hanging="600"/>
        <w:jc w:val="left"/>
      </w:pPr>
      <w:rPr>
        <w:rFonts w:hint="default" w:ascii="Courier New" w:hAnsi="Courier New" w:eastAsia="Courier New" w:cs="Courier New"/>
        <w:b w:val="0"/>
        <w:bCs w:val="0"/>
        <w:i w:val="0"/>
        <w:iCs w:val="0"/>
        <w:spacing w:val="-1"/>
        <w:w w:val="100"/>
        <w:sz w:val="20"/>
        <w:szCs w:val="20"/>
        <w:lang w:val="en-US" w:eastAsia="en-US" w:bidi="ar-SA"/>
      </w:rPr>
    </w:lvl>
    <w:lvl w:ilvl="2">
      <w:start w:val="0"/>
      <w:numFmt w:val="bullet"/>
      <w:lvlText w:val="•"/>
      <w:lvlJc w:val="left"/>
      <w:pPr>
        <w:ind w:left="2315" w:hanging="600"/>
      </w:pPr>
      <w:rPr>
        <w:rFonts w:hint="default"/>
        <w:lang w:val="en-US" w:eastAsia="en-US" w:bidi="ar-SA"/>
      </w:rPr>
    </w:lvl>
    <w:lvl w:ilvl="3">
      <w:start w:val="0"/>
      <w:numFmt w:val="bullet"/>
      <w:lvlText w:val="•"/>
      <w:lvlJc w:val="left"/>
      <w:pPr>
        <w:ind w:left="3151" w:hanging="600"/>
      </w:pPr>
      <w:rPr>
        <w:rFonts w:hint="default"/>
        <w:lang w:val="en-US" w:eastAsia="en-US" w:bidi="ar-SA"/>
      </w:rPr>
    </w:lvl>
    <w:lvl w:ilvl="4">
      <w:start w:val="0"/>
      <w:numFmt w:val="bullet"/>
      <w:lvlText w:val="•"/>
      <w:lvlJc w:val="left"/>
      <w:pPr>
        <w:ind w:left="3986" w:hanging="600"/>
      </w:pPr>
      <w:rPr>
        <w:rFonts w:hint="default"/>
        <w:lang w:val="en-US" w:eastAsia="en-US" w:bidi="ar-SA"/>
      </w:rPr>
    </w:lvl>
    <w:lvl w:ilvl="5">
      <w:start w:val="0"/>
      <w:numFmt w:val="bullet"/>
      <w:lvlText w:val="•"/>
      <w:lvlJc w:val="left"/>
      <w:pPr>
        <w:ind w:left="4822" w:hanging="600"/>
      </w:pPr>
      <w:rPr>
        <w:rFonts w:hint="default"/>
        <w:lang w:val="en-US" w:eastAsia="en-US" w:bidi="ar-SA"/>
      </w:rPr>
    </w:lvl>
    <w:lvl w:ilvl="6">
      <w:start w:val="0"/>
      <w:numFmt w:val="bullet"/>
      <w:lvlText w:val="•"/>
      <w:lvlJc w:val="left"/>
      <w:pPr>
        <w:ind w:left="5657" w:hanging="600"/>
      </w:pPr>
      <w:rPr>
        <w:rFonts w:hint="default"/>
        <w:lang w:val="en-US" w:eastAsia="en-US" w:bidi="ar-SA"/>
      </w:rPr>
    </w:lvl>
    <w:lvl w:ilvl="7">
      <w:start w:val="0"/>
      <w:numFmt w:val="bullet"/>
      <w:lvlText w:val="•"/>
      <w:lvlJc w:val="left"/>
      <w:pPr>
        <w:ind w:left="6493" w:hanging="600"/>
      </w:pPr>
      <w:rPr>
        <w:rFonts w:hint="default"/>
        <w:lang w:val="en-US" w:eastAsia="en-US" w:bidi="ar-SA"/>
      </w:rPr>
    </w:lvl>
    <w:lvl w:ilvl="8">
      <w:start w:val="0"/>
      <w:numFmt w:val="bullet"/>
      <w:lvlText w:val="•"/>
      <w:lvlJc w:val="left"/>
      <w:pPr>
        <w:ind w:left="7328" w:hanging="600"/>
      </w:pPr>
      <w:rPr>
        <w:rFonts w:hint="default"/>
        <w:lang w:val="en-US" w:eastAsia="en-US" w:bidi="ar-SA"/>
      </w:rPr>
    </w:lvl>
  </w:abstractNum>
  <w:num w:numId="2">
    <w:abstractNumId w:val="1"/>
  </w: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20"/>
  <w:defaultTabStop w:val="720"/>
  <w:drawingGridHorizontalSpacing w:val="110"/>
  <w:displayHorizontalDrawingGridEvery w:val="2"/>
  <w:characterSpacingControl w:val="doNotCompress"/>
  <w:compat>
    <w:ulTrailSpace/>
    <w:shapeLayoutLikeWW8/>
    <w:useFELayout/>
    <w:compatSetting w:val="14" w:uri="http://schemas.microsoft.com/office/word" w:name="compatibilityMode"/>
  </w:compat>
</w:settings>
</file>

<file path=word/styles.xml><?xml version="1.0" encoding="utf-8"?>
<w:styles xmlns:r="http://schemas.openxmlformats.org/officeDocument/2006/relationships" xmlns:w="http://schemas.openxmlformats.org/wordprocessingml/2006/main">
  <w:docDefaults>
    <w:rPrDefault>
      <w:rPr>
        <w:rFonts w:cstheme="minorBidi" w:hAnsiTheme="minorHAnsi" w:eastAsiaTheme="minorHAnsi" w:asciiTheme="minorHAnsi"/>
        <w:sz w:val="22"/>
        <w:szCs w:val="22"/>
        <w:lang w:val="en-US" w:bidi="ar-SA" w:eastAsia="en-US"/>
      </w:rPr>
    </w:rPrDefault>
    <w:pPrDefault>
      <w:pPr>
        <w:widowControl w:val="0"/>
        <w:autoSpaceDE w:val="0"/>
        <w:autoSpaceDN w:val="0"/>
        <w:spacing w:lineRule="auto" w:line="240" w:before="0" w:after="0"/>
        <w:ind w:left="0" w:right="0"/>
        <w:jc w:val="left"/>
      </w:pPr>
    </w:pPrDefault>
  </w:docDefaults>
  <w:style w:styleId="DefaultParagraphFont" w:default="1" w:type="character">
    <w:name w:val="Default Paragraph Font"/>
    <w:uiPriority w:val="1"/>
    <w:semiHidden/>
    <w:unhideWhenUsed/>
  </w:style>
  <w:style w:styleId="TableNormal" w:default="1" w:type="table">
    <w:name w:val="Table Normal"/>
    <w:uiPriority w:val="2"/>
    <w:semiHidden/>
    <w:unhideWhenUsed/>
    <w:qFormat/>
    <w:tblPr>
      <w:tblInd w:w="0" w:type="dxa"/>
      <w:tblCellMar>
        <w:top w:w="0" w:type="dxa"/>
        <w:left w:w="0" w:type="dxa"/>
        <w:bottom w:w="0" w:type="dxa"/>
        <w:right w:w="0" w:type="dxa"/>
      </w:tblCellMar>
    </w:tblPr>
  </w:style>
  <w:style w:styleId="NoList" w:default="1" w:type="numbering">
    <w:name w:val="No List"/>
    <w:uiPriority w:val="99"/>
    <w:semiHidden/>
    <w:unhideWhenUsed/>
  </w:style>
  <w:style w:default="1" w:styleId="Normal" w:type="paragraph">
    <w:name w:val="Normal"/>
    <w:uiPriority w:val="1"/>
    <w:qFormat/>
    <w:pPr/>
    <w:rPr>
      <w:rFonts w:ascii="Courier New" w:hAnsi="Courier New" w:eastAsia="Courier New" w:cs="Courier New"/>
      <w:lang w:val="en-US" w:eastAsia="en-US" w:bidi="ar-SA"/>
    </w:rPr>
  </w:style>
  <w:style w:styleId="BodyText" w:type="paragraph">
    <w:name w:val="Body Text"/>
    <w:basedOn w:val="Normal"/>
    <w:uiPriority w:val="1"/>
    <w:qFormat/>
    <w:pPr>
      <w:ind w:left="520"/>
    </w:pPr>
    <w:rPr>
      <w:rFonts w:ascii="Courier New" w:hAnsi="Courier New" w:eastAsia="Courier New" w:cs="Courier New"/>
      <w:sz w:val="20"/>
      <w:szCs w:val="20"/>
      <w:lang w:val="en-US" w:eastAsia="en-US" w:bidi="ar-SA"/>
    </w:rPr>
  </w:style>
  <w:style w:styleId="ListParagraph" w:type="paragraph">
    <w:name w:val="List Paragraph"/>
    <w:basedOn w:val="Normal"/>
    <w:uiPriority w:val="1"/>
    <w:qFormat/>
    <w:pPr>
      <w:ind w:left="876" w:hanging="716"/>
    </w:pPr>
    <w:rPr>
      <w:rFonts w:ascii="Courier New" w:hAnsi="Courier New" w:eastAsia="Courier New" w:cs="Courier New"/>
      <w:lang w:val="en-US" w:eastAsia="en-US" w:bidi="ar-SA"/>
    </w:rPr>
  </w:style>
  <w:style w:styleId="TableParagraph" w:type="paragraph">
    <w:name w:val="Table Paragraph"/>
    <w:basedOn w:val="Normal"/>
    <w:uiPriority w:val="1"/>
    <w:qFormat/>
    <w:pPr/>
    <w:rPr>
      <w:lang w:val="en-US" w:eastAsia="en-US" w:bidi="ar-SA"/>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oter" Target="footer1.xml"/><Relationship Id="rId6" Type="http://schemas.openxmlformats.org/officeDocument/2006/relationships/header" Target="header1.xml"/><Relationship Id="rId7" Type="http://schemas.openxmlformats.org/officeDocument/2006/relationships/footer" Target="footer2.xml"/><Relationship Id="rId8" Type="http://schemas.openxmlformats.org/officeDocument/2006/relationships/hyperlink" Target="mailto:kurt@OpenLDAP.org" TargetMode="External"/><Relationship Id="rId9" Type="http://schemas.openxmlformats.org/officeDocument/2006/relationships/hyperlink" Target="mailto:Kurt@OpenLDAP.org" TargetMode="External"/><Relationship Id="rId10" Type="http://schemas.openxmlformats.org/officeDocument/2006/relationships/hyperlink" Target="http://www.ietf.org/ipr" TargetMode="External"/><Relationship Id="rId11" Type="http://schemas.openxmlformats.org/officeDocument/2006/relationships/hyperlink" Target="mailto:ietf-ipr@ietf.org" TargetMode="External"/><Relationship Id="rId1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Application>Microsoft Office Word</Application>
  <DocSecurity>0</DocSecurity>
  <ScaleCrop>false</ScaleCrop>
  <LinksUpToDate>false</LinksUpToDate>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RFC Editor</dc:creator>
  <dc:title>Enscript Output</dc:title>
  <dcterms:created xsi:type="dcterms:W3CDTF">2026-01-19T03:25:50Z</dcterms:created>
  <dcterms:modified xsi:type="dcterms:W3CDTF">2026-01-19T03:25:50Z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2026-01-19T00:00:00Z</vt:filetime>
  </property>
  <property fmtid="{D5CDD505-2E9C-101B-9397-08002B2CF9AE}" pid="3" name="Creator">
    <vt:lpwstr>GNU enscript 1.6.1</vt:lpwstr>
  </property>
  <property fmtid="{D5CDD505-2E9C-101B-9397-08002B2CF9AE}" pid="4" name="Producer">
    <vt:lpwstr>GNU Ghostscript 7.05</vt:lpwstr>
  </property>
  <property fmtid="{D5CDD505-2E9C-101B-9397-08002B2CF9AE}" pid="5" name="LastSaved">
    <vt:filetime>2026-01-19T00:00:00Z</vt:filetime>
  </property>
</Properties>
</file>