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Entra ID Multi-Tenant Test Environment</w:t>
      </w:r>
    </w:p>
    <w:p>
      <w:pPr>
        <w:pBdr>
          <w:bottom w:val="single" w:color="2E75B6" w:sz="6" w:space="6"/>
        </w:pBdr>
        <w:spacing w:after="200"/>
        <w:jc w:val="center"/>
      </w:pPr>
      <w:r>
        <w:rPr>
          <w:color w:val="2E75B6"/>
          <w:sz w:val="24"/>
          <w:szCs w:val="24"/>
        </w:rPr>
        <w:t xml:space="preserve">Executive Brief</w:t>
      </w:r>
    </w:p>
    <w:p>
      <w:pPr>
        <w:pStyle w:val="Heading1"/>
      </w:pPr>
      <w:r>
        <w:t xml:space="preserve">The Ask</w:t>
      </w:r>
    </w:p>
    <w:p>
      <w:pPr>
        <w:spacing w:after="120"/>
      </w:pPr>
      <w:r>
        <w:t xml:space="preserve">Provision two persistent, P2-licensed Entra ID tenants to serve as a staging environment and a greenfield baseline alongside our production tenant. This gives the IAM team a safe place to test changes before they touch 72,000+ users and a known-good reference to audit inherited configurations.</w:t>
      </w:r>
    </w:p>
    <w:p>
      <w:pPr>
        <w:pStyle w:val="Heading1"/>
      </w:pPr>
      <w:r>
        <w:t xml:space="preserve">Why We Need This</w:t>
      </w:r>
    </w:p>
    <w:p>
      <w:pPr>
        <w:spacing w:after="120"/>
      </w:pPr>
      <w:r>
        <w:rPr>
          <w:b/>
          <w:bCs/>
        </w:rPr>
        <w:t xml:space="preserve">We have no test environment for identity infrastructure. </w:t>
      </w:r>
      <w:r>
        <w:t xml:space="preserve">In January 2026, the authentication methods migration affected every user across all three institutions. Issues that were undocumented by both Microsoft and Cisco Duo had to be troubleshot and resolved in production, with real users experiencing authentication disruptions. A staging tenant would have caught these issues before go-live.</w:t>
      </w:r>
    </w:p>
    <w:p>
      <w:pPr>
        <w:spacing w:after="120"/>
      </w:pPr>
      <w:r>
        <w:rPr>
          <w:b/>
          <w:bCs/>
        </w:rPr>
        <w:t xml:space="preserve">We inherited configurations we cannot verify. </w:t>
      </w:r>
      <w:r>
        <w:t xml:space="preserve">The production tenant contains security settings from previous administrators with no documentation. Without a greenfield tenant showing Microsoft’s defaults, we cannot distinguish intentional configurations from drift or misconfiguration.</w:t>
      </w:r>
    </w:p>
    <w:p>
      <w:pPr>
        <w:spacing w:after="120"/>
      </w:pPr>
      <w:r>
        <w:rPr>
          <w:b/>
          <w:bCs/>
        </w:rPr>
        <w:t xml:space="preserve">Project timelines exceed trial periods. </w:t>
      </w:r>
      <w:r>
        <w:t xml:space="preserve">The authentication methods migration spanned five months (September 2025 through February 2026). Microsoft’s 30-day P2 trials cannot support our project timelines, and recreating a test environment for each project wastes engineering time and risks configuration errors.</w:t>
      </w:r>
    </w:p>
    <w:p>
      <w:pPr>
        <w:spacing w:after="120"/>
      </w:pPr>
      <w:r>
        <w:rPr>
          <w:b/>
          <w:bCs/>
        </w:rPr>
        <w:t xml:space="preserve">P2 licensing is required for meaningful testing. </w:t>
      </w:r>
      <w:r>
        <w:t xml:space="preserve">Production uses P2 features including Conditional Access, Identity Protection, PIM, and External Authentication Methods. Testing against a free or P1 tenant cannot validate P2-dependent behavior.</w:t>
      </w:r>
    </w:p>
    <w:p>
      <w:pPr>
        <w:pStyle w:val="Heading1"/>
      </w:pPr>
      <w:r>
        <w:t xml:space="preserve">Proposed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
            </w:r>
          </w:p>
        </w:tc>
        <w:tc>
          <w:tcPr>
            <w:tcW w:type="dxa" w:w="2520"/>
            <w:tcBorders>
              <w:top w:val="single" w:color="CCCCCC" w:sz="1"/>
              <w:left w:val="single" w:color="CCCCCC" w:sz="1"/>
              <w:bottom w:val="single" w:color="CCCCCC" w:sz="1"/>
              <w:right w:val="single" w:color="CCCCCC" w:sz="1"/>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Production</w:t>
            </w:r>
          </w:p>
        </w:tc>
        <w:tc>
          <w:tcPr>
            <w:tcW w:type="dxa" w:w="2520"/>
            <w:tcBorders>
              <w:top w:val="single" w:color="CCCCCC" w:sz="1"/>
              <w:left w:val="single" w:color="CCCCCC" w:sz="1"/>
              <w:bottom w:val="single" w:color="CCCCCC" w:sz="1"/>
              <w:right w:val="single" w:color="CCCCCC" w:sz="1"/>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Staging</w:t>
            </w:r>
          </w:p>
        </w:tc>
        <w:tc>
          <w:tcPr>
            <w:tcW w:type="dxa" w:w="2520"/>
            <w:tcBorders>
              <w:top w:val="single" w:color="CCCCCC" w:sz="1"/>
              <w:left w:val="single" w:color="CCCCCC" w:sz="1"/>
              <w:bottom w:val="single" w:color="CCCCCC" w:sz="1"/>
              <w:right w:val="single" w:color="CCCCCC" w:sz="1"/>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Greenfield</w:t>
            </w:r>
          </w:p>
        </w:tc>
      </w:tr>
      <w:tr>
        <w:tc>
          <w:tcPr>
            <w:tcW w:type="dxa" w:w="2520"/>
            <w:tcBorders>
              <w:top w:val="single" w:color="CCCCCC" w:sz="1"/>
              <w:left w:val="single" w:color="CCCCCC" w:sz="1"/>
              <w:bottom w:val="single" w:color="CCCCCC" w:sz="1"/>
              <w:right w:val="single" w:color="CCCCCC" w:sz="1"/>
            </w:tcBorders>
            <w:shd w:fill="F2F2F2" w:color="auto" w:val="clear"/>
            <w:tcMar>
              <w:top w:type="dxa" w:w="60"/>
              <w:left w:type="dxa" w:w="100"/>
              <w:bottom w:type="dxa" w:w="60"/>
              <w:right w:type="dxa" w:w="100"/>
            </w:tcMar>
          </w:tcPr>
          <w:p>
            <w:pPr>
              <w:spacing w:after="0"/>
            </w:pPr>
            <w:r>
              <w:rPr>
                <w:b/>
                <w:bCs/>
                <w:sz w:val="18"/>
                <w:szCs w:val="18"/>
              </w:rPr>
              <w:t xml:space="preserve">Tenant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myunt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myunttest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myuntsrc (new)</w:t>
            </w:r>
          </w:p>
        </w:tc>
      </w:tr>
      <w:tr>
        <w:tc>
          <w:tcPr>
            <w:tcW w:type="dxa" w:w="2520"/>
            <w:tcBorders>
              <w:top w:val="single" w:color="CCCCCC" w:sz="1"/>
              <w:left w:val="single" w:color="CCCCCC" w:sz="1"/>
              <w:bottom w:val="single" w:color="CCCCCC" w:sz="1"/>
              <w:right w:val="single" w:color="CCCCCC" w:sz="1"/>
            </w:tcBorders>
            <w:shd w:fill="F2F2F2" w:color="auto" w:val="clear"/>
            <w:tcMar>
              <w:top w:type="dxa" w:w="60"/>
              <w:left w:type="dxa" w:w="100"/>
              <w:bottom w:type="dxa" w:w="60"/>
              <w:right w:type="dxa" w:w="100"/>
            </w:tcMar>
          </w:tcPr>
          <w:p>
            <w:pPr>
              <w:spacing w:after="0"/>
            </w:pPr>
            <w:r>
              <w:rPr>
                <w:b/>
                <w:bCs/>
                <w:sz w:val="18"/>
                <w:szCs w:val="18"/>
              </w:rPr>
              <w:t xml:space="preserve">Purpose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Live services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Test changes before production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Untouched defaults for comparison</w:t>
            </w:r>
          </w:p>
        </w:tc>
      </w:tr>
      <w:tr>
        <w:tc>
          <w:tcPr>
            <w:tcW w:type="dxa" w:w="2520"/>
            <w:tcBorders>
              <w:top w:val="single" w:color="CCCCCC" w:sz="1"/>
              <w:left w:val="single" w:color="CCCCCC" w:sz="1"/>
              <w:bottom w:val="single" w:color="CCCCCC" w:sz="1"/>
              <w:right w:val="single" w:color="CCCCCC" w:sz="1"/>
            </w:tcBorders>
            <w:shd w:fill="F2F2F2" w:color="auto" w:val="clear"/>
            <w:tcMar>
              <w:top w:type="dxa" w:w="60"/>
              <w:left w:type="dxa" w:w="100"/>
              <w:bottom w:type="dxa" w:w="60"/>
              <w:right w:type="dxa" w:w="100"/>
            </w:tcMar>
          </w:tcPr>
          <w:p>
            <w:pPr>
              <w:spacing w:after="0"/>
            </w:pPr>
            <w:r>
              <w:rPr>
                <w:b/>
                <w:bCs/>
                <w:sz w:val="18"/>
                <w:szCs w:val="18"/>
              </w:rPr>
              <w:t xml:space="preserve">License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P2 (existing)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P2 (upgrade from free)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P2 (new)</w:t>
            </w:r>
          </w:p>
        </w:tc>
      </w:tr>
      <w:tr>
        <w:tc>
          <w:tcPr>
            <w:tcW w:type="dxa" w:w="2520"/>
            <w:tcBorders>
              <w:top w:val="single" w:color="CCCCCC" w:sz="1"/>
              <w:left w:val="single" w:color="CCCCCC" w:sz="1"/>
              <w:bottom w:val="single" w:color="CCCCCC" w:sz="1"/>
              <w:right w:val="single" w:color="CCCCCC" w:sz="1"/>
            </w:tcBorders>
            <w:shd w:fill="F2F2F2" w:color="auto" w:val="clear"/>
            <w:tcMar>
              <w:top w:type="dxa" w:w="60"/>
              <w:left w:type="dxa" w:w="100"/>
              <w:bottom w:type="dxa" w:w="60"/>
              <w:right w:type="dxa" w:w="100"/>
            </w:tcMar>
          </w:tcPr>
          <w:p>
            <w:pPr>
              <w:spacing w:after="0"/>
            </w:pPr>
            <w:r>
              <w:rPr>
                <w:b/>
                <w:bCs/>
                <w:sz w:val="18"/>
                <w:szCs w:val="18"/>
              </w:rPr>
              <w:t xml:space="preserve">Users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72,000+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1,000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100</w:t>
            </w:r>
          </w:p>
        </w:tc>
      </w:tr>
      <w:tr>
        <w:tc>
          <w:tcPr>
            <w:tcW w:type="dxa" w:w="2520"/>
            <w:tcBorders>
              <w:top w:val="single" w:color="CCCCCC" w:sz="1"/>
              <w:left w:val="single" w:color="CCCCCC" w:sz="1"/>
              <w:bottom w:val="single" w:color="CCCCCC" w:sz="1"/>
              <w:right w:val="single" w:color="CCCCCC" w:sz="1"/>
            </w:tcBorders>
            <w:shd w:fill="F2F2F2" w:color="auto" w:val="clear"/>
            <w:tcMar>
              <w:top w:type="dxa" w:w="60"/>
              <w:left w:type="dxa" w:w="100"/>
              <w:bottom w:type="dxa" w:w="60"/>
              <w:right w:type="dxa" w:w="100"/>
            </w:tcMar>
          </w:tcPr>
          <w:p>
            <w:pPr>
              <w:spacing w:after="0"/>
            </w:pPr>
            <w:r>
              <w:rPr>
                <w:b/>
                <w:bCs/>
                <w:sz w:val="18"/>
                <w:szCs w:val="18"/>
              </w:rPr>
              <w:t xml:space="preserve">Policy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Changes require validated test plan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Mirrors production; freely modifiable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Read-only; never modified</w:t>
            </w:r>
          </w:p>
        </w:tc>
      </w:tr>
    </w:tbl>
    <w:p>
      <w:pPr>
        <w:pStyle w:val="Heading1"/>
      </w:pPr>
      <w:r>
        <w:t xml:space="preserve">Cost</w:t>
      </w:r>
    </w:p>
    <w:p>
      <w:pPr>
        <w:spacing w:after="120"/>
      </w:pPr>
      <w:r>
        <w:t xml:space="preserve">At list price ($9/user/month for Entra ID P2), the new licensing cost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240"/>
        <w:gridCol w:w="2240"/>
        <w:gridCol w:w="2240"/>
      </w:tblGrid>
      <w:tr>
        <w:tc>
          <w:tcPr>
            <w:tcW w:type="dxa" w:w="3360"/>
            <w:tcBorders>
              <w:top w:val="single" w:color="CCCCCC" w:sz="1"/>
              <w:left w:val="single" w:color="CCCCCC" w:sz="1"/>
              <w:bottom w:val="single" w:color="CCCCCC" w:sz="1"/>
              <w:right w:val="single" w:color="CCCCCC" w:sz="1"/>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Tenant</w:t>
            </w:r>
          </w:p>
        </w:tc>
        <w:tc>
          <w:tcPr>
            <w:tcW w:type="dxa" w:w="2240"/>
            <w:tcBorders>
              <w:top w:val="single" w:color="CCCCCC" w:sz="1"/>
              <w:left w:val="single" w:color="CCCCCC" w:sz="1"/>
              <w:bottom w:val="single" w:color="CCCCCC" w:sz="1"/>
              <w:right w:val="single" w:color="CCCCCC" w:sz="1"/>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Users</w:t>
            </w:r>
          </w:p>
        </w:tc>
        <w:tc>
          <w:tcPr>
            <w:tcW w:type="dxa" w:w="2240"/>
            <w:tcBorders>
              <w:top w:val="single" w:color="CCCCCC" w:sz="1"/>
              <w:left w:val="single" w:color="CCCCCC" w:sz="1"/>
              <w:bottom w:val="single" w:color="CCCCCC" w:sz="1"/>
              <w:right w:val="single" w:color="CCCCCC" w:sz="1"/>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Monthly</w:t>
            </w:r>
          </w:p>
        </w:tc>
        <w:tc>
          <w:tcPr>
            <w:tcW w:type="dxa" w:w="2240"/>
            <w:tcBorders>
              <w:top w:val="single" w:color="CCCCCC" w:sz="1"/>
              <w:left w:val="single" w:color="CCCCCC" w:sz="1"/>
              <w:bottom w:val="single" w:color="CCCCCC" w:sz="1"/>
              <w:right w:val="single" w:color="CCCCCC" w:sz="1"/>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Annual</w:t>
            </w:r>
          </w:p>
        </w:tc>
      </w:tr>
      <w:tr>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Staging (myunttest)</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1,000</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$9,000</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$108,000</w:t>
            </w:r>
          </w:p>
        </w:tc>
      </w:tr>
      <w:tr>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Greenfield (myuntsrc)</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100</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$900</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$10,800</w:t>
            </w:r>
          </w:p>
        </w:tc>
      </w:tr>
      <w:tr>
        <w:tc>
          <w:tcPr>
            <w:tcW w:type="dxa" w:w="3360"/>
            <w:tcBorders>
              <w:top w:val="single" w:color="CCCCCC" w:sz="1"/>
              <w:left w:val="single" w:color="CCCCCC" w:sz="1"/>
              <w:bottom w:val="single" w:color="CCCCCC" w:sz="1"/>
              <w:right w:val="single" w:color="CCCCCC" w:sz="1"/>
            </w:tcBorders>
            <w:shd w:fill="F2F2F2" w:color="auto" w:val="clear"/>
            <w:tcMar>
              <w:top w:type="dxa" w:w="60"/>
              <w:left w:type="dxa" w:w="100"/>
              <w:bottom w:type="dxa" w:w="60"/>
              <w:right w:type="dxa" w:w="100"/>
            </w:tcMar>
          </w:tcPr>
          <w:p>
            <w:pPr>
              <w:spacing w:after="0"/>
            </w:pPr>
            <w:r>
              <w:rPr>
                <w:b/>
                <w:bCs/>
                <w:sz w:val="18"/>
                <w:szCs w:val="18"/>
              </w:rPr>
              <w:t xml:space="preserve">Total</w:t>
            </w:r>
          </w:p>
        </w:tc>
        <w:tc>
          <w:tcPr>
            <w:tcW w:type="dxa" w:w="2240"/>
            <w:tcBorders>
              <w:top w:val="single" w:color="CCCCCC" w:sz="1"/>
              <w:left w:val="single" w:color="CCCCCC" w:sz="1"/>
              <w:bottom w:val="single" w:color="CCCCCC" w:sz="1"/>
              <w:right w:val="single" w:color="CCCCCC" w:sz="1"/>
            </w:tcBorders>
            <w:shd w:fill="F2F2F2" w:color="auto" w:val="clear"/>
            <w:tcMar>
              <w:top w:type="dxa" w:w="60"/>
              <w:left w:type="dxa" w:w="100"/>
              <w:bottom w:type="dxa" w:w="60"/>
              <w:right w:type="dxa" w:w="100"/>
            </w:tcMar>
          </w:tcPr>
          <w:p>
            <w:pPr>
              <w:spacing w:after="0"/>
            </w:pPr>
            <w:r>
              <w:rPr>
                <w:b/>
                <w:bCs/>
                <w:sz w:val="18"/>
                <w:szCs w:val="18"/>
              </w:rPr>
              <w:t xml:space="preserve">1,100</w:t>
            </w:r>
          </w:p>
        </w:tc>
        <w:tc>
          <w:tcPr>
            <w:tcW w:type="dxa" w:w="2240"/>
            <w:tcBorders>
              <w:top w:val="single" w:color="CCCCCC" w:sz="1"/>
              <w:left w:val="single" w:color="CCCCCC" w:sz="1"/>
              <w:bottom w:val="single" w:color="CCCCCC" w:sz="1"/>
              <w:right w:val="single" w:color="CCCCCC" w:sz="1"/>
            </w:tcBorders>
            <w:shd w:fill="F2F2F2" w:color="auto" w:val="clear"/>
            <w:tcMar>
              <w:top w:type="dxa" w:w="60"/>
              <w:left w:type="dxa" w:w="100"/>
              <w:bottom w:type="dxa" w:w="60"/>
              <w:right w:type="dxa" w:w="100"/>
            </w:tcMar>
          </w:tcPr>
          <w:p>
            <w:pPr>
              <w:spacing w:after="0"/>
            </w:pPr>
            <w:r>
              <w:rPr>
                <w:b/>
                <w:bCs/>
                <w:sz w:val="18"/>
                <w:szCs w:val="18"/>
              </w:rPr>
              <w:t xml:space="preserve">$9,900</w:t>
            </w:r>
          </w:p>
        </w:tc>
        <w:tc>
          <w:tcPr>
            <w:tcW w:type="dxa" w:w="2240"/>
            <w:tcBorders>
              <w:top w:val="single" w:color="CCCCCC" w:sz="1"/>
              <w:left w:val="single" w:color="CCCCCC" w:sz="1"/>
              <w:bottom w:val="single" w:color="CCCCCC" w:sz="1"/>
              <w:right w:val="single" w:color="CCCCCC" w:sz="1"/>
            </w:tcBorders>
            <w:shd w:fill="F2F2F2" w:color="auto" w:val="clear"/>
            <w:tcMar>
              <w:top w:type="dxa" w:w="60"/>
              <w:left w:type="dxa" w:w="100"/>
              <w:bottom w:type="dxa" w:w="60"/>
              <w:right w:type="dxa" w:w="100"/>
            </w:tcMar>
          </w:tcPr>
          <w:p>
            <w:pPr>
              <w:spacing w:after="0"/>
            </w:pPr>
            <w:r>
              <w:rPr>
                <w:b/>
                <w:bCs/>
                <w:sz w:val="18"/>
                <w:szCs w:val="18"/>
              </w:rPr>
              <w:t xml:space="preserve">$118,800</w:t>
            </w:r>
          </w:p>
        </w:tc>
      </w:tr>
    </w:tbl>
    <w:p>
      <w:pPr>
        <w:spacing w:after="120"/>
      </w:pPr>
      <w:r>
        <w:rPr>
          <w:i/>
          <w:iCs/>
          <w:sz w:val="18"/>
          <w:szCs w:val="18"/>
        </w:rPr>
        <w:t xml:space="preserve">Actual pricing may be lower through UNT System’s Microsoft enterprise agreement or educational pricing.</w:t>
      </w:r>
    </w:p>
    <w:p>
      <w:pPr>
        <w:pStyle w:val="Heading1"/>
      </w:pPr>
      <w:r>
        <w:t xml:space="preserve">What This Supports Over the Next Four Years</w:t>
      </w:r>
    </w:p>
    <w:p>
      <w:pPr>
        <w:spacing w:after="120"/>
      </w:pPr>
      <w:r>
        <w:t xml:space="preserve">These environments will be used for every Entra ID project, including: Conditional Access redesign, PIM rollout, enterprise application SSO migrations, Identity Protection tuning, potential Entra Cloud Sync migration, and FERPA/HIPAA access reviews. Each of these projects involves security-sensitive changes affecting the entire user population.</w:t>
      </w:r>
    </w:p>
    <w:p>
      <w:pPr>
        <w:pStyle w:val="Heading1"/>
      </w:pPr>
      <w:r>
        <w:t xml:space="preserve">Recommendation</w:t>
      </w:r>
    </w:p>
    <w:p>
      <w:pPr>
        <w:pStyle w:val="ListParagraph"/>
        <w:numPr>
          <w:ilvl w:val="0"/>
          <w:numId w:val="2"/>
        </w:numPr>
        <w:spacing w:after="60"/>
      </w:pPr>
      <w:r>
        <w:t xml:space="preserve">Provision myuntsrc.onmicrosoft.com as a persistent greenfield baseline with 100 Entra ID P2 licenses.</w:t>
      </w:r>
    </w:p>
    <w:p>
      <w:pPr>
        <w:pStyle w:val="ListParagraph"/>
        <w:numPr>
          <w:ilvl w:val="0"/>
          <w:numId w:val="2"/>
        </w:numPr>
        <w:spacing w:after="60"/>
      </w:pPr>
      <w:r>
        <w:t xml:space="preserve">Upgrade myunttest.onmicrosoft.com from free to Entra ID P2 with 1,000 licensed users.</w:t>
      </w:r>
    </w:p>
    <w:p>
      <w:pPr>
        <w:pStyle w:val="ListParagraph"/>
        <w:numPr>
          <w:ilvl w:val="0"/>
          <w:numId w:val="2"/>
        </w:numPr>
        <w:spacing w:after="60"/>
      </w:pPr>
      <w:r>
        <w:t xml:space="preserve">Designate myuntsrc as read-only and myunttest as the mandatory pre-production validation environment for all identity changes.</w:t>
      </w:r>
    </w:p>
    <w:p>
      <w:pPr>
        <w:spacing w:after="60"/>
      </w:pPr>
    </w:p>
    <w:p>
      <w:pPr>
        <w:spacing w:after="120"/>
      </w:pPr>
      <w:r>
        <w:rPr>
          <w:i/>
          <w:iCs/>
          <w:sz w:val="18"/>
          <w:szCs w:val="18"/>
        </w:rPr>
        <w:t xml:space="preserve">Full proposal available upon request.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3"/>
      </w:pBdr>
      <w:tabs>
        <w:tab w:val="right" w:pos="9026"/>
      </w:tabs>
    </w:pPr>
    <w:r>
      <w:rPr>
        <w:color w:val="808080"/>
        <w:sz w:val="14"/>
        <w:szCs w:val="14"/>
      </w:rPr>
      <w:t xml:space="preserve">Jack Stewart, IAM Engineer — February 2026</w:t>
    </w:r>
    <w:r>
      <w:rPr>
        <w:color w:val="808080"/>
        <w:sz w:val="14"/>
        <w:szCs w:val="14"/>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3"/>
      </w:pBdr>
    </w:pPr>
    <w:r>
      <w:rPr>
        <w:rFonts w:ascii="Arial" w:cs="Arial" w:eastAsia="Arial" w:hAnsi="Arial"/>
        <w:color w:val="808080"/>
        <w:sz w:val="14"/>
        <w:szCs w:val="14"/>
      </w:rPr>
      <w:t xml:space="preserve">UNT System IAM — Entra ID Test Environments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bullet"/>
      <w:lvlText w:val="•"/>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160" w:after="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2026-02-14T00:55:37.947Z</dcterms:created>
  <dcterms:modified xsi:type="dcterms:W3CDTF">2026-02-14T00:55:37.948Z</dcterms:modified>
</cp:coreProperties>
</file>

<file path=docProps/custom.xml><?xml version="1.0" encoding="utf-8"?>
<Properties xmlns="http://schemas.openxmlformats.org/officeDocument/2006/custom-properties" xmlns:vt="http://schemas.openxmlformats.org/officeDocument/2006/docPropsVTypes"/>
</file>