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479" w:val="left" w:leader="none"/>
        </w:tabs>
        <w:spacing w:line="223" w:lineRule="exact" w:before="73"/>
        <w:ind w:left="160"/>
      </w:pPr>
      <w:r>
        <w:rPr/>
        <w:t>Network</w:t>
      </w:r>
      <w:r>
        <w:rPr>
          <w:spacing w:val="-7"/>
        </w:rPr>
        <w:t> </w:t>
      </w:r>
      <w:r>
        <w:rPr/>
        <w:t>Working</w:t>
      </w:r>
      <w:r>
        <w:rPr>
          <w:spacing w:val="-7"/>
        </w:rPr>
        <w:t> </w:t>
      </w:r>
      <w:r>
        <w:rPr>
          <w:spacing w:val="-2"/>
        </w:rPr>
        <w:t>Group</w:t>
      </w:r>
      <w:r>
        <w:rPr/>
        <w:tab/>
        <w:t>K.</w:t>
      </w:r>
      <w:r>
        <w:rPr>
          <w:spacing w:val="-4"/>
        </w:rPr>
        <w:t> </w:t>
      </w:r>
      <w:r>
        <w:rPr>
          <w:spacing w:val="-2"/>
        </w:rPr>
        <w:t>Zeilenga</w:t>
      </w:r>
    </w:p>
    <w:p>
      <w:pPr>
        <w:pStyle w:val="BodyText"/>
        <w:tabs>
          <w:tab w:pos="6519" w:val="left" w:leader="none"/>
        </w:tabs>
        <w:spacing w:line="220" w:lineRule="exact"/>
        <w:ind w:left="160"/>
      </w:pPr>
      <w:r>
        <w:rPr/>
        <w:t>Request</w:t>
      </w:r>
      <w:r>
        <w:rPr>
          <w:spacing w:val="-7"/>
        </w:rPr>
        <w:t> </w:t>
      </w:r>
      <w:r>
        <w:rPr/>
        <w:t>for</w:t>
      </w:r>
      <w:r>
        <w:rPr>
          <w:spacing w:val="-6"/>
        </w:rPr>
        <w:t> </w:t>
      </w:r>
      <w:r>
        <w:rPr/>
        <w:t>Comments:</w:t>
      </w:r>
      <w:r>
        <w:rPr>
          <w:spacing w:val="-6"/>
        </w:rPr>
        <w:t> </w:t>
      </w:r>
      <w:r>
        <w:rPr>
          <w:spacing w:val="-4"/>
        </w:rPr>
        <w:t>4528</w:t>
      </w:r>
      <w:r>
        <w:rPr/>
        <w:tab/>
        <w:t>OpenLDAP</w:t>
      </w:r>
      <w:r>
        <w:rPr>
          <w:spacing w:val="-8"/>
        </w:rPr>
        <w:t> </w:t>
      </w:r>
      <w:r>
        <w:rPr>
          <w:spacing w:val="-2"/>
        </w:rPr>
        <w:t>Foundation</w:t>
      </w:r>
    </w:p>
    <w:p>
      <w:pPr>
        <w:pStyle w:val="BodyText"/>
        <w:tabs>
          <w:tab w:pos="7719" w:val="left" w:leader="none"/>
        </w:tabs>
        <w:spacing w:line="223" w:lineRule="exact"/>
        <w:ind w:left="160"/>
      </w:pPr>
      <w:r>
        <w:rPr/>
        <w:t>Category:</w:t>
      </w:r>
      <w:r>
        <w:rPr>
          <w:spacing w:val="-9"/>
        </w:rPr>
        <w:t> </w:t>
      </w:r>
      <w:r>
        <w:rPr/>
        <w:t>Standards</w:t>
      </w:r>
      <w:r>
        <w:rPr>
          <w:spacing w:val="-9"/>
        </w:rPr>
        <w:t> </w:t>
      </w:r>
      <w:r>
        <w:rPr>
          <w:spacing w:val="-2"/>
        </w:rPr>
        <w:t>Track</w:t>
      </w:r>
      <w:r>
        <w:rPr/>
        <w:tab/>
        <w:t>June</w:t>
      </w:r>
      <w:r>
        <w:rPr>
          <w:spacing w:val="-4"/>
        </w:rPr>
        <w:t> 2006</w:t>
      </w:r>
    </w:p>
    <w:p>
      <w:pPr>
        <w:pStyle w:val="BodyText"/>
        <w:spacing w:before="212"/>
        <w:ind w:left="0"/>
      </w:pPr>
    </w:p>
    <w:p>
      <w:pPr>
        <w:pStyle w:val="BodyText"/>
        <w:spacing w:line="232" w:lineRule="auto"/>
        <w:ind w:left="3400" w:right="862" w:hanging="1560"/>
      </w:pPr>
      <w:r>
        <w:rPr/>
        <w:t>Lightweight</w:t>
      </w:r>
      <w:r>
        <w:rPr>
          <w:spacing w:val="-11"/>
        </w:rPr>
        <w:t> </w:t>
      </w:r>
      <w:r>
        <w:rPr/>
        <w:t>Directory</w:t>
      </w:r>
      <w:r>
        <w:rPr>
          <w:spacing w:val="-11"/>
        </w:rPr>
        <w:t> </w:t>
      </w:r>
      <w:r>
        <w:rPr/>
        <w:t>Access</w:t>
      </w:r>
      <w:r>
        <w:rPr>
          <w:spacing w:val="-11"/>
        </w:rPr>
        <w:t> </w:t>
      </w:r>
      <w:r>
        <w:rPr/>
        <w:t>Protocol</w:t>
      </w:r>
      <w:r>
        <w:rPr>
          <w:spacing w:val="-11"/>
        </w:rPr>
        <w:t> </w:t>
      </w:r>
      <w:r>
        <w:rPr/>
        <w:t>(LDAP) Assertion Control</w:t>
      </w:r>
    </w:p>
    <w:p>
      <w:pPr>
        <w:pStyle w:val="BodyText"/>
        <w:spacing w:before="209"/>
        <w:ind w:left="0"/>
      </w:pPr>
    </w:p>
    <w:p>
      <w:pPr>
        <w:pStyle w:val="BodyText"/>
        <w:ind w:left="160"/>
      </w:pPr>
      <w:r>
        <w:rPr/>
        <w:t>Status</w:t>
      </w:r>
      <w:r>
        <w:rPr>
          <w:spacing w:val="-4"/>
        </w:rPr>
        <w:t> </w:t>
      </w:r>
      <w:r>
        <w:rPr/>
        <w:t>of</w:t>
      </w:r>
      <w:r>
        <w:rPr>
          <w:spacing w:val="-4"/>
        </w:rPr>
        <w:t> </w:t>
      </w:r>
      <w:r>
        <w:rPr/>
        <w:t>This</w:t>
      </w:r>
      <w:r>
        <w:rPr>
          <w:spacing w:val="-4"/>
        </w:rPr>
        <w:t> Memo</w:t>
      </w:r>
    </w:p>
    <w:p>
      <w:pPr>
        <w:pStyle w:val="BodyText"/>
        <w:spacing w:line="232" w:lineRule="auto" w:before="218"/>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7"/>
        <w:ind w:left="160"/>
      </w:pPr>
      <w:r>
        <w:rPr/>
        <w:t>Copyright</w:t>
      </w:r>
      <w:r>
        <w:rPr>
          <w:spacing w:val="-9"/>
        </w:rPr>
        <w:t> </w:t>
      </w:r>
      <w:r>
        <w:rPr>
          <w:spacing w:val="-2"/>
        </w:rPr>
        <w:t>Notice</w:t>
      </w:r>
    </w:p>
    <w:p>
      <w:pPr>
        <w:pStyle w:val="BodyText"/>
        <w:spacing w:before="213"/>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9"/>
        <w:ind w:right="319"/>
      </w:pPr>
      <w:r>
        <w:rPr/>
        <w:t>This document defines the Lightweight Directory Access Protocol (LDAP) Assertion Control, which allows a client to specify that a directory</w:t>
      </w:r>
      <w:r>
        <w:rPr>
          <w:spacing w:val="-5"/>
        </w:rPr>
        <w:t> </w:t>
      </w:r>
      <w:r>
        <w:rPr/>
        <w:t>operation</w:t>
      </w:r>
      <w:r>
        <w:rPr>
          <w:spacing w:val="-5"/>
        </w:rPr>
        <w:t> </w:t>
      </w:r>
      <w:r>
        <w:rPr/>
        <w:t>should</w:t>
      </w:r>
      <w:r>
        <w:rPr>
          <w:spacing w:val="-5"/>
        </w:rPr>
        <w:t> </w:t>
      </w:r>
      <w:r>
        <w:rPr/>
        <w:t>only</w:t>
      </w:r>
      <w:r>
        <w:rPr>
          <w:spacing w:val="-5"/>
        </w:rPr>
        <w:t> </w:t>
      </w:r>
      <w:r>
        <w:rPr/>
        <w:t>be</w:t>
      </w:r>
      <w:r>
        <w:rPr>
          <w:spacing w:val="-5"/>
        </w:rPr>
        <w:t> </w:t>
      </w:r>
      <w:r>
        <w:rPr/>
        <w:t>processed</w:t>
      </w:r>
      <w:r>
        <w:rPr>
          <w:spacing w:val="-5"/>
        </w:rPr>
        <w:t> </w:t>
      </w:r>
      <w:r>
        <w:rPr/>
        <w:t>if</w:t>
      </w:r>
      <w:r>
        <w:rPr>
          <w:spacing w:val="-5"/>
        </w:rPr>
        <w:t> </w:t>
      </w:r>
      <w:r>
        <w:rPr/>
        <w:t>an</w:t>
      </w:r>
      <w:r>
        <w:rPr>
          <w:spacing w:val="-5"/>
        </w:rPr>
        <w:t> </w:t>
      </w:r>
      <w:r>
        <w:rPr/>
        <w:t>assertion</w:t>
      </w:r>
      <w:r>
        <w:rPr>
          <w:spacing w:val="-5"/>
        </w:rPr>
        <w:t> </w:t>
      </w:r>
      <w:r>
        <w:rPr/>
        <w:t>applied to the target entry of the operation is true.</w:t>
      </w:r>
      <w:r>
        <w:rPr>
          <w:spacing w:val="80"/>
        </w:rPr>
        <w:t> </w:t>
      </w:r>
      <w:r>
        <w:rPr/>
        <w:t>It can be used to construct "test and set", "test and clear", and other conditional </w:t>
      </w:r>
      <w:r>
        <w:rPr>
          <w:spacing w:val="-2"/>
        </w:rPr>
        <w:t>operations.</w:t>
      </w:r>
    </w:p>
    <w:p>
      <w:pPr>
        <w:pStyle w:val="BodyText"/>
        <w:spacing w:before="216"/>
        <w:ind w:left="160"/>
      </w:pPr>
      <w:r>
        <w:rPr/>
        <w:t>Table</w:t>
      </w:r>
      <w:r>
        <w:rPr>
          <w:spacing w:val="-4"/>
        </w:rPr>
        <w:t> </w:t>
      </w:r>
      <w:r>
        <w:rPr/>
        <w:t>of</w:t>
      </w:r>
      <w:r>
        <w:rPr>
          <w:spacing w:val="-3"/>
        </w:rPr>
        <w:t> </w:t>
      </w:r>
      <w:r>
        <w:rPr>
          <w:spacing w:val="-2"/>
        </w:rPr>
        <w:t>Contents</w:t>
      </w:r>
    </w:p>
    <w:p>
      <w:pPr>
        <w:pStyle w:val="ListParagraph"/>
        <w:numPr>
          <w:ilvl w:val="0"/>
          <w:numId w:val="1"/>
        </w:numPr>
        <w:tabs>
          <w:tab w:pos="878" w:val="left" w:leader="none"/>
          <w:tab w:pos="8799" w:val="right" w:leader="dot"/>
        </w:tabs>
        <w:spacing w:line="223" w:lineRule="exact" w:before="214" w:after="0"/>
        <w:ind w:left="878" w:right="0" w:hanging="358"/>
        <w:jc w:val="left"/>
        <w:rPr>
          <w:sz w:val="20"/>
        </w:rPr>
      </w:pPr>
      <w:r>
        <w:rPr>
          <w:spacing w:val="-2"/>
          <w:sz w:val="20"/>
        </w:rPr>
        <w:t>Overview</w:t>
      </w:r>
      <w:r>
        <w:rPr>
          <w:sz w:val="20"/>
        </w:rPr>
        <w:tab/>
      </w:r>
      <w:r>
        <w:rPr>
          <w:spacing w:val="-10"/>
          <w:sz w:val="20"/>
        </w:rPr>
        <w:t>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Terminology</w:t>
      </w:r>
      <w:r>
        <w:rPr>
          <w:sz w:val="20"/>
        </w:rPr>
        <w:tab/>
      </w:r>
      <w:r>
        <w:rPr>
          <w:spacing w:val="-10"/>
          <w:sz w:val="20"/>
        </w:rPr>
        <w:t>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The</w:t>
      </w:r>
      <w:r>
        <w:rPr>
          <w:spacing w:val="-6"/>
          <w:sz w:val="20"/>
        </w:rPr>
        <w:t> </w:t>
      </w:r>
      <w:r>
        <w:rPr>
          <w:sz w:val="20"/>
        </w:rPr>
        <w:t>Assertion</w:t>
      </w:r>
      <w:r>
        <w:rPr>
          <w:spacing w:val="-6"/>
          <w:sz w:val="20"/>
        </w:rPr>
        <w:t> </w:t>
      </w:r>
      <w:r>
        <w:rPr>
          <w:spacing w:val="-2"/>
          <w:sz w:val="20"/>
        </w:rPr>
        <w:t>Control</w:t>
      </w:r>
      <w:r>
        <w:rPr>
          <w:sz w:val="20"/>
        </w:rPr>
        <w:tab/>
      </w:r>
      <w:r>
        <w:rPr>
          <w:spacing w:val="-10"/>
          <w:sz w:val="20"/>
        </w:rPr>
        <w:t>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Security</w:t>
      </w:r>
      <w:r>
        <w:rPr>
          <w:spacing w:val="-8"/>
          <w:sz w:val="20"/>
        </w:rPr>
        <w:t> </w:t>
      </w:r>
      <w:r>
        <w:rPr>
          <w:spacing w:val="-2"/>
          <w:sz w:val="20"/>
        </w:rPr>
        <w:t>Considerations</w:t>
      </w:r>
      <w:r>
        <w:rPr>
          <w:sz w:val="20"/>
        </w:rPr>
        <w:tab/>
      </w:r>
      <w:r>
        <w:rPr>
          <w:spacing w:val="-10"/>
          <w:sz w:val="20"/>
        </w:rPr>
        <w:t>3</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IANA</w:t>
      </w:r>
      <w:r>
        <w:rPr>
          <w:spacing w:val="-4"/>
          <w:sz w:val="20"/>
        </w:rPr>
        <w:t> </w:t>
      </w:r>
      <w:r>
        <w:rPr>
          <w:spacing w:val="-2"/>
          <w:sz w:val="20"/>
        </w:rPr>
        <w:t>Considerations</w:t>
      </w:r>
      <w:r>
        <w:rPr>
          <w:sz w:val="20"/>
        </w:rPr>
        <w:tab/>
      </w:r>
      <w:r>
        <w:rPr>
          <w:spacing w:val="-10"/>
          <w:sz w:val="20"/>
        </w:rPr>
        <w:t>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Object</w:t>
      </w:r>
      <w:r>
        <w:rPr>
          <w:spacing w:val="-6"/>
          <w:sz w:val="20"/>
        </w:rPr>
        <w:t> </w:t>
      </w:r>
      <w:r>
        <w:rPr>
          <w:spacing w:val="-2"/>
          <w:sz w:val="20"/>
        </w:rPr>
        <w:t>Identifier</w:t>
      </w:r>
      <w:r>
        <w:rPr>
          <w:sz w:val="20"/>
        </w:rPr>
        <w:tab/>
      </w:r>
      <w:r>
        <w:rPr>
          <w:spacing w:val="-10"/>
          <w:sz w:val="20"/>
        </w:rPr>
        <w:t>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LDAP</w:t>
      </w:r>
      <w:r>
        <w:rPr>
          <w:spacing w:val="-6"/>
          <w:sz w:val="20"/>
        </w:rPr>
        <w:t> </w:t>
      </w:r>
      <w:r>
        <w:rPr>
          <w:sz w:val="20"/>
        </w:rPr>
        <w:t>Protocol</w:t>
      </w:r>
      <w:r>
        <w:rPr>
          <w:spacing w:val="-6"/>
          <w:sz w:val="20"/>
        </w:rPr>
        <w:t> </w:t>
      </w:r>
      <w:r>
        <w:rPr>
          <w:spacing w:val="-2"/>
          <w:sz w:val="20"/>
        </w:rPr>
        <w:t>Mechanism</w:t>
      </w:r>
      <w:r>
        <w:rPr>
          <w:sz w:val="20"/>
        </w:rPr>
        <w:tab/>
      </w:r>
      <w:r>
        <w:rPr>
          <w:spacing w:val="-10"/>
          <w:sz w:val="20"/>
        </w:rPr>
        <w:t>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LDAP</w:t>
      </w:r>
      <w:r>
        <w:rPr>
          <w:spacing w:val="-5"/>
          <w:sz w:val="20"/>
        </w:rPr>
        <w:t> </w:t>
      </w:r>
      <w:r>
        <w:rPr>
          <w:sz w:val="20"/>
        </w:rPr>
        <w:t>Result</w:t>
      </w:r>
      <w:r>
        <w:rPr>
          <w:spacing w:val="-5"/>
          <w:sz w:val="20"/>
        </w:rPr>
        <w:t> </w:t>
      </w:r>
      <w:r>
        <w:rPr>
          <w:spacing w:val="-4"/>
          <w:sz w:val="20"/>
        </w:rPr>
        <w:t>Code</w:t>
      </w:r>
      <w:r>
        <w:rPr>
          <w:sz w:val="20"/>
        </w:rPr>
        <w:tab/>
      </w:r>
      <w:r>
        <w:rPr>
          <w:spacing w:val="-10"/>
          <w:sz w:val="20"/>
        </w:rPr>
        <w:t>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Acknowledgements</w:t>
      </w:r>
      <w:r>
        <w:rPr>
          <w:sz w:val="20"/>
        </w:rPr>
        <w:tab/>
      </w:r>
      <w:r>
        <w:rPr>
          <w:spacing w:val="-10"/>
          <w:sz w:val="20"/>
        </w:rPr>
        <w:t>5</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References</w:t>
      </w:r>
      <w:r>
        <w:rPr>
          <w:sz w:val="20"/>
        </w:rPr>
        <w:tab/>
      </w:r>
      <w:r>
        <w:rPr>
          <w:spacing w:val="-10"/>
          <w:sz w:val="20"/>
        </w:rPr>
        <w:t>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Normative</w:t>
      </w:r>
      <w:r>
        <w:rPr>
          <w:spacing w:val="-9"/>
          <w:sz w:val="20"/>
        </w:rPr>
        <w:t> </w:t>
      </w:r>
      <w:r>
        <w:rPr>
          <w:spacing w:val="-2"/>
          <w:sz w:val="20"/>
        </w:rPr>
        <w:t>References</w:t>
      </w:r>
      <w:r>
        <w:rPr>
          <w:sz w:val="20"/>
        </w:rPr>
        <w:tab/>
      </w:r>
      <w:r>
        <w:rPr>
          <w:spacing w:val="-10"/>
          <w:sz w:val="20"/>
        </w:rPr>
        <w:t>5</w:t>
      </w:r>
    </w:p>
    <w:p>
      <w:pPr>
        <w:pStyle w:val="ListParagraph"/>
        <w:numPr>
          <w:ilvl w:val="1"/>
          <w:numId w:val="1"/>
        </w:numPr>
        <w:tabs>
          <w:tab w:pos="1476" w:val="left" w:leader="none"/>
          <w:tab w:pos="8799" w:val="right" w:leader="dot"/>
        </w:tabs>
        <w:spacing w:line="223" w:lineRule="exact" w:before="0" w:after="0"/>
        <w:ind w:left="1476" w:right="0" w:hanging="596"/>
        <w:jc w:val="left"/>
        <w:rPr>
          <w:sz w:val="20"/>
        </w:rPr>
      </w:pPr>
      <w:r>
        <w:rPr>
          <w:sz w:val="20"/>
        </w:rPr>
        <w:t>Informative</w:t>
      </w:r>
      <w:r>
        <w:rPr>
          <w:spacing w:val="-11"/>
          <w:sz w:val="20"/>
        </w:rPr>
        <w:t> </w:t>
      </w:r>
      <w:r>
        <w:rPr>
          <w:spacing w:val="-2"/>
          <w:sz w:val="20"/>
        </w:rPr>
        <w:t>References</w:t>
      </w:r>
      <w:r>
        <w:rPr>
          <w:sz w:val="20"/>
        </w:rPr>
        <w:tab/>
      </w:r>
      <w:r>
        <w:rPr>
          <w:spacing w:val="-10"/>
          <w:sz w:val="20"/>
        </w:rPr>
        <w:t>5</w:t>
      </w:r>
    </w:p>
    <w:p>
      <w:pPr>
        <w:pStyle w:val="ListParagraph"/>
        <w:spacing w:after="0" w:line="223" w:lineRule="exact"/>
        <w:jc w:val="left"/>
        <w:rPr>
          <w:sz w:val="20"/>
        </w:rPr>
        <w:sectPr>
          <w:footerReference w:type="default" r:id="rId5"/>
          <w:type w:val="continuous"/>
          <w:pgSz w:w="12240" w:h="15840"/>
          <w:pgMar w:header="0" w:footer="2527" w:top="1820" w:bottom="2720" w:left="1440" w:right="1800"/>
          <w:pgNumType w:start="1"/>
        </w:sectPr>
      </w:pPr>
    </w:p>
    <w:p>
      <w:pPr>
        <w:pStyle w:val="ListParagraph"/>
        <w:numPr>
          <w:ilvl w:val="0"/>
          <w:numId w:val="2"/>
        </w:numPr>
        <w:tabs>
          <w:tab w:pos="638" w:val="left" w:leader="none"/>
        </w:tabs>
        <w:spacing w:line="240" w:lineRule="auto" w:before="90" w:after="0"/>
        <w:ind w:left="638" w:right="0" w:hanging="478"/>
        <w:jc w:val="left"/>
        <w:rPr>
          <w:sz w:val="20"/>
        </w:rPr>
      </w:pPr>
      <w:r>
        <w:rPr>
          <w:spacing w:val="-2"/>
          <w:sz w:val="20"/>
        </w:rPr>
        <w:t>Overview</w:t>
      </w:r>
    </w:p>
    <w:p>
      <w:pPr>
        <w:pStyle w:val="BodyText"/>
        <w:spacing w:line="232" w:lineRule="auto" w:before="218"/>
        <w:ind w:right="199"/>
      </w:pPr>
      <w:r>
        <w:rPr/>
        <w:t>This document defines the Lightweight Directory Access Protocol (LDAP)</w:t>
      </w:r>
      <w:r>
        <w:rPr>
          <w:spacing w:val="-5"/>
        </w:rPr>
        <w:t> </w:t>
      </w:r>
      <w:r>
        <w:rPr/>
        <w:t>[RFC4510]</w:t>
      </w:r>
      <w:r>
        <w:rPr>
          <w:spacing w:val="-5"/>
        </w:rPr>
        <w:t> </w:t>
      </w:r>
      <w:r>
        <w:rPr/>
        <w:t>assertion</w:t>
      </w:r>
      <w:r>
        <w:rPr>
          <w:spacing w:val="-5"/>
        </w:rPr>
        <w:t> </w:t>
      </w:r>
      <w:r>
        <w:rPr/>
        <w:t>control.</w:t>
      </w:r>
      <w:r>
        <w:rPr>
          <w:spacing w:val="80"/>
        </w:rPr>
        <w:t> </w:t>
      </w:r>
      <w:r>
        <w:rPr/>
        <w:t>The</w:t>
      </w:r>
      <w:r>
        <w:rPr>
          <w:spacing w:val="-5"/>
        </w:rPr>
        <w:t> </w:t>
      </w:r>
      <w:r>
        <w:rPr/>
        <w:t>assertion</w:t>
      </w:r>
      <w:r>
        <w:rPr>
          <w:spacing w:val="-5"/>
        </w:rPr>
        <w:t> </w:t>
      </w:r>
      <w:r>
        <w:rPr/>
        <w:t>control</w:t>
      </w:r>
      <w:r>
        <w:rPr>
          <w:spacing w:val="-5"/>
        </w:rPr>
        <w:t> </w:t>
      </w:r>
      <w:r>
        <w:rPr/>
        <w:t>allows</w:t>
      </w:r>
      <w:r>
        <w:rPr>
          <w:spacing w:val="-5"/>
        </w:rPr>
        <w:t> </w:t>
      </w:r>
      <w:r>
        <w:rPr/>
        <w:t>the client to specify a condition that must be true for the operation to be processed normally.</w:t>
      </w:r>
      <w:r>
        <w:rPr>
          <w:spacing w:val="80"/>
        </w:rPr>
        <w:t> </w:t>
      </w:r>
      <w:r>
        <w:rPr/>
        <w:t>Otherwise, the operation is not performed.</w:t>
      </w:r>
    </w:p>
    <w:p>
      <w:pPr>
        <w:pStyle w:val="BodyText"/>
        <w:spacing w:line="232" w:lineRule="auto" w:before="1"/>
        <w:ind w:right="919"/>
        <w:jc w:val="both"/>
      </w:pPr>
      <w:r>
        <w:rPr/>
        <w:t>For</w:t>
      </w:r>
      <w:r>
        <w:rPr>
          <w:spacing w:val="-5"/>
        </w:rPr>
        <w:t> </w:t>
      </w:r>
      <w:r>
        <w:rPr/>
        <w:t>instance,</w:t>
      </w:r>
      <w:r>
        <w:rPr>
          <w:spacing w:val="-5"/>
        </w:rPr>
        <w:t> </w:t>
      </w:r>
      <w:r>
        <w:rPr/>
        <w:t>the</w:t>
      </w:r>
      <w:r>
        <w:rPr>
          <w:spacing w:val="-5"/>
        </w:rPr>
        <w:t> </w:t>
      </w:r>
      <w:r>
        <w:rPr/>
        <w:t>control</w:t>
      </w:r>
      <w:r>
        <w:rPr>
          <w:spacing w:val="-5"/>
        </w:rPr>
        <w:t> </w:t>
      </w:r>
      <w:r>
        <w:rPr/>
        <w:t>can</w:t>
      </w:r>
      <w:r>
        <w:rPr>
          <w:spacing w:val="-5"/>
        </w:rPr>
        <w:t> </w:t>
      </w:r>
      <w:r>
        <w:rPr/>
        <w:t>be</w:t>
      </w:r>
      <w:r>
        <w:rPr>
          <w:spacing w:val="-5"/>
        </w:rPr>
        <w:t> </w:t>
      </w:r>
      <w:r>
        <w:rPr/>
        <w:t>used</w:t>
      </w:r>
      <w:r>
        <w:rPr>
          <w:spacing w:val="-5"/>
        </w:rPr>
        <w:t> </w:t>
      </w:r>
      <w:r>
        <w:rPr/>
        <w:t>with</w:t>
      </w:r>
      <w:r>
        <w:rPr>
          <w:spacing w:val="-5"/>
        </w:rPr>
        <w:t> </w:t>
      </w:r>
      <w:r>
        <w:rPr/>
        <w:t>the</w:t>
      </w:r>
      <w:r>
        <w:rPr>
          <w:spacing w:val="-5"/>
        </w:rPr>
        <w:t> </w:t>
      </w:r>
      <w:r>
        <w:rPr/>
        <w:t>Modify</w:t>
      </w:r>
      <w:r>
        <w:rPr>
          <w:spacing w:val="-5"/>
        </w:rPr>
        <w:t> </w:t>
      </w:r>
      <w:r>
        <w:rPr/>
        <w:t>operation [RFC4511]</w:t>
      </w:r>
      <w:r>
        <w:rPr>
          <w:spacing w:val="-5"/>
        </w:rPr>
        <w:t> </w:t>
      </w:r>
      <w:r>
        <w:rPr/>
        <w:t>to</w:t>
      </w:r>
      <w:r>
        <w:rPr>
          <w:spacing w:val="-5"/>
        </w:rPr>
        <w:t> </w:t>
      </w:r>
      <w:r>
        <w:rPr/>
        <w:t>perform</w:t>
      </w:r>
      <w:r>
        <w:rPr>
          <w:spacing w:val="-5"/>
        </w:rPr>
        <w:t> </w:t>
      </w:r>
      <w:r>
        <w:rPr/>
        <w:t>atomic</w:t>
      </w:r>
      <w:r>
        <w:rPr>
          <w:spacing w:val="-5"/>
        </w:rPr>
        <w:t> </w:t>
      </w:r>
      <w:r>
        <w:rPr/>
        <w:t>"test</w:t>
      </w:r>
      <w:r>
        <w:rPr>
          <w:spacing w:val="-5"/>
        </w:rPr>
        <w:t> </w:t>
      </w:r>
      <w:r>
        <w:rPr/>
        <w:t>and</w:t>
      </w:r>
      <w:r>
        <w:rPr>
          <w:spacing w:val="-5"/>
        </w:rPr>
        <w:t> </w:t>
      </w:r>
      <w:r>
        <w:rPr/>
        <w:t>set"</w:t>
      </w:r>
      <w:r>
        <w:rPr>
          <w:spacing w:val="-5"/>
        </w:rPr>
        <w:t> </w:t>
      </w:r>
      <w:r>
        <w:rPr/>
        <w:t>and</w:t>
      </w:r>
      <w:r>
        <w:rPr>
          <w:spacing w:val="-5"/>
        </w:rPr>
        <w:t> </w:t>
      </w:r>
      <w:r>
        <w:rPr/>
        <w:t>"test</w:t>
      </w:r>
      <w:r>
        <w:rPr>
          <w:spacing w:val="-5"/>
        </w:rPr>
        <w:t> </w:t>
      </w:r>
      <w:r>
        <w:rPr/>
        <w:t>and</w:t>
      </w:r>
      <w:r>
        <w:rPr>
          <w:spacing w:val="-5"/>
        </w:rPr>
        <w:t> </w:t>
      </w:r>
      <w:r>
        <w:rPr/>
        <w:t>clear" </w:t>
      </w:r>
      <w:r>
        <w:rPr>
          <w:spacing w:val="-2"/>
        </w:rPr>
        <w:t>operations.</w:t>
      </w:r>
    </w:p>
    <w:p>
      <w:pPr>
        <w:pStyle w:val="BodyText"/>
        <w:spacing w:line="232" w:lineRule="auto" w:before="221"/>
        <w:ind w:right="319"/>
      </w:pPr>
      <w:r>
        <w:rPr/>
        <w:t>The control may be attached to any update operation to support conditional addition, deletion, modification, and renaming of the target</w:t>
      </w:r>
      <w:r>
        <w:rPr>
          <w:spacing w:val="-5"/>
        </w:rPr>
        <w:t> </w:t>
      </w:r>
      <w:r>
        <w:rPr/>
        <w:t>object.</w:t>
      </w:r>
      <w:r>
        <w:rPr>
          <w:spacing w:val="80"/>
        </w:rPr>
        <w:t> </w:t>
      </w:r>
      <w:r>
        <w:rPr/>
        <w:t>The</w:t>
      </w:r>
      <w:r>
        <w:rPr>
          <w:spacing w:val="-5"/>
        </w:rPr>
        <w:t> </w:t>
      </w:r>
      <w:r>
        <w:rPr/>
        <w:t>asserted</w:t>
      </w:r>
      <w:r>
        <w:rPr>
          <w:spacing w:val="-5"/>
        </w:rPr>
        <w:t> </w:t>
      </w:r>
      <w:r>
        <w:rPr/>
        <w:t>condition</w:t>
      </w:r>
      <w:r>
        <w:rPr>
          <w:spacing w:val="-5"/>
        </w:rPr>
        <w:t> </w:t>
      </w:r>
      <w:r>
        <w:rPr/>
        <w:t>is</w:t>
      </w:r>
      <w:r>
        <w:rPr>
          <w:spacing w:val="-5"/>
        </w:rPr>
        <w:t> </w:t>
      </w:r>
      <w:r>
        <w:rPr/>
        <w:t>evaluated</w:t>
      </w:r>
      <w:r>
        <w:rPr>
          <w:spacing w:val="-5"/>
        </w:rPr>
        <w:t> </w:t>
      </w:r>
      <w:r>
        <w:rPr/>
        <w:t>as</w:t>
      </w:r>
      <w:r>
        <w:rPr>
          <w:spacing w:val="-5"/>
        </w:rPr>
        <w:t> </w:t>
      </w:r>
      <w:r>
        <w:rPr/>
        <w:t>an</w:t>
      </w:r>
      <w:r>
        <w:rPr>
          <w:spacing w:val="-5"/>
        </w:rPr>
        <w:t> </w:t>
      </w:r>
      <w:r>
        <w:rPr/>
        <w:t>integral part the operation.</w:t>
      </w:r>
    </w:p>
    <w:p>
      <w:pPr>
        <w:pStyle w:val="BodyText"/>
        <w:spacing w:line="232" w:lineRule="auto" w:before="221"/>
        <w:ind w:right="319"/>
      </w:pPr>
      <w:r>
        <w:rPr/>
        <w:t>The</w:t>
      </w:r>
      <w:r>
        <w:rPr>
          <w:spacing w:val="-4"/>
        </w:rPr>
        <w:t> </w:t>
      </w:r>
      <w:r>
        <w:rPr/>
        <w:t>control</w:t>
      </w:r>
      <w:r>
        <w:rPr>
          <w:spacing w:val="-4"/>
        </w:rPr>
        <w:t> </w:t>
      </w:r>
      <w:r>
        <w:rPr/>
        <w:t>may</w:t>
      </w:r>
      <w:r>
        <w:rPr>
          <w:spacing w:val="-4"/>
        </w:rPr>
        <w:t> </w:t>
      </w:r>
      <w:r>
        <w:rPr/>
        <w:t>also</w:t>
      </w:r>
      <w:r>
        <w:rPr>
          <w:spacing w:val="-4"/>
        </w:rPr>
        <w:t> </w:t>
      </w:r>
      <w:r>
        <w:rPr/>
        <w:t>be</w:t>
      </w:r>
      <w:r>
        <w:rPr>
          <w:spacing w:val="-4"/>
        </w:rPr>
        <w:t> </w:t>
      </w:r>
      <w:r>
        <w:rPr/>
        <w:t>used</w:t>
      </w:r>
      <w:r>
        <w:rPr>
          <w:spacing w:val="-4"/>
        </w:rPr>
        <w:t> </w:t>
      </w:r>
      <w:r>
        <w:rPr/>
        <w:t>with</w:t>
      </w:r>
      <w:r>
        <w:rPr>
          <w:spacing w:val="-4"/>
        </w:rPr>
        <w:t> </w:t>
      </w:r>
      <w:r>
        <w:rPr/>
        <w:t>the</w:t>
      </w:r>
      <w:r>
        <w:rPr>
          <w:spacing w:val="-4"/>
        </w:rPr>
        <w:t> </w:t>
      </w:r>
      <w:r>
        <w:rPr/>
        <w:t>search</w:t>
      </w:r>
      <w:r>
        <w:rPr>
          <w:spacing w:val="-4"/>
        </w:rPr>
        <w:t> </w:t>
      </w:r>
      <w:r>
        <w:rPr/>
        <w:t>operation.</w:t>
      </w:r>
      <w:r>
        <w:rPr>
          <w:spacing w:val="80"/>
        </w:rPr>
        <w:t> </w:t>
      </w:r>
      <w:r>
        <w:rPr/>
        <w:t>Here,</w:t>
      </w:r>
      <w:r>
        <w:rPr>
          <w:spacing w:val="-4"/>
        </w:rPr>
        <w:t> </w:t>
      </w:r>
      <w:r>
        <w:rPr/>
        <w:t>the assertion is applied to the base object of the search before searching for objects that match the search scope and filter.</w:t>
      </w:r>
    </w:p>
    <w:p>
      <w:pPr>
        <w:pStyle w:val="BodyText"/>
        <w:spacing w:line="232" w:lineRule="auto" w:before="220"/>
      </w:pPr>
      <w:r>
        <w:rPr/>
        <w:t>The</w:t>
      </w:r>
      <w:r>
        <w:rPr>
          <w:spacing w:val="-4"/>
        </w:rPr>
        <w:t> </w:t>
      </w:r>
      <w:r>
        <w:rPr/>
        <w:t>control</w:t>
      </w:r>
      <w:r>
        <w:rPr>
          <w:spacing w:val="-4"/>
        </w:rPr>
        <w:t> </w:t>
      </w:r>
      <w:r>
        <w:rPr/>
        <w:t>may</w:t>
      </w:r>
      <w:r>
        <w:rPr>
          <w:spacing w:val="-4"/>
        </w:rPr>
        <w:t> </w:t>
      </w:r>
      <w:r>
        <w:rPr/>
        <w:t>also</w:t>
      </w:r>
      <w:r>
        <w:rPr>
          <w:spacing w:val="-4"/>
        </w:rPr>
        <w:t> </w:t>
      </w:r>
      <w:r>
        <w:rPr/>
        <w:t>be</w:t>
      </w:r>
      <w:r>
        <w:rPr>
          <w:spacing w:val="-4"/>
        </w:rPr>
        <w:t> </w:t>
      </w:r>
      <w:r>
        <w:rPr/>
        <w:t>used</w:t>
      </w:r>
      <w:r>
        <w:rPr>
          <w:spacing w:val="-4"/>
        </w:rPr>
        <w:t> </w:t>
      </w:r>
      <w:r>
        <w:rPr/>
        <w:t>with</w:t>
      </w:r>
      <w:r>
        <w:rPr>
          <w:spacing w:val="-4"/>
        </w:rPr>
        <w:t> </w:t>
      </w:r>
      <w:r>
        <w:rPr/>
        <w:t>the</w:t>
      </w:r>
      <w:r>
        <w:rPr>
          <w:spacing w:val="-4"/>
        </w:rPr>
        <w:t> </w:t>
      </w:r>
      <w:r>
        <w:rPr/>
        <w:t>compare</w:t>
      </w:r>
      <w:r>
        <w:rPr>
          <w:spacing w:val="-4"/>
        </w:rPr>
        <w:t> </w:t>
      </w:r>
      <w:r>
        <w:rPr/>
        <w:t>operation.</w:t>
      </w:r>
      <w:r>
        <w:rPr>
          <w:spacing w:val="80"/>
        </w:rPr>
        <w:t> </w:t>
      </w:r>
      <w:r>
        <w:rPr/>
        <w:t>Here,</w:t>
      </w:r>
      <w:r>
        <w:rPr>
          <w:spacing w:val="-4"/>
        </w:rPr>
        <w:t> </w:t>
      </w:r>
      <w:r>
        <w:rPr/>
        <w:t>it extends the compare operation to allow a more complex assertion.</w:t>
      </w:r>
    </w:p>
    <w:p>
      <w:pPr>
        <w:pStyle w:val="ListParagraph"/>
        <w:numPr>
          <w:ilvl w:val="0"/>
          <w:numId w:val="2"/>
        </w:numPr>
        <w:tabs>
          <w:tab w:pos="518" w:val="left" w:leader="none"/>
        </w:tabs>
        <w:spacing w:line="240" w:lineRule="auto" w:before="216" w:after="0"/>
        <w:ind w:left="518" w:right="0" w:hanging="358"/>
        <w:jc w:val="left"/>
        <w:rPr>
          <w:sz w:val="20"/>
        </w:rPr>
      </w:pPr>
      <w:r>
        <w:rPr>
          <w:spacing w:val="-2"/>
          <w:sz w:val="20"/>
        </w:rPr>
        <w:t>Terminology</w:t>
      </w:r>
    </w:p>
    <w:p>
      <w:pPr>
        <w:pStyle w:val="BodyText"/>
        <w:spacing w:line="232" w:lineRule="auto" w:before="218"/>
        <w:ind w:right="319"/>
      </w:pPr>
      <w:r>
        <w:rPr/>
        <w:t>Protocol</w:t>
      </w:r>
      <w:r>
        <w:rPr>
          <w:spacing w:val="-6"/>
        </w:rPr>
        <w:t> </w:t>
      </w:r>
      <w:r>
        <w:rPr/>
        <w:t>elements</w:t>
      </w:r>
      <w:r>
        <w:rPr>
          <w:spacing w:val="-6"/>
        </w:rPr>
        <w:t> </w:t>
      </w:r>
      <w:r>
        <w:rPr/>
        <w:t>are</w:t>
      </w:r>
      <w:r>
        <w:rPr>
          <w:spacing w:val="-6"/>
        </w:rPr>
        <w:t> </w:t>
      </w:r>
      <w:r>
        <w:rPr/>
        <w:t>described</w:t>
      </w:r>
      <w:r>
        <w:rPr>
          <w:spacing w:val="-6"/>
        </w:rPr>
        <w:t> </w:t>
      </w:r>
      <w:r>
        <w:rPr/>
        <w:t>using</w:t>
      </w:r>
      <w:r>
        <w:rPr>
          <w:spacing w:val="-6"/>
        </w:rPr>
        <w:t> </w:t>
      </w:r>
      <w:r>
        <w:rPr/>
        <w:t>ASN.1</w:t>
      </w:r>
      <w:r>
        <w:rPr>
          <w:spacing w:val="-6"/>
        </w:rPr>
        <w:t> </w:t>
      </w:r>
      <w:r>
        <w:rPr/>
        <w:t>[X.680]</w:t>
      </w:r>
      <w:r>
        <w:rPr>
          <w:spacing w:val="-6"/>
        </w:rPr>
        <w:t> </w:t>
      </w:r>
      <w:r>
        <w:rPr/>
        <w:t>with</w:t>
      </w:r>
      <w:r>
        <w:rPr>
          <w:spacing w:val="-6"/>
        </w:rPr>
        <w:t> </w:t>
      </w:r>
      <w:r>
        <w:rPr/>
        <w:t>implicit tags.</w:t>
      </w:r>
      <w:r>
        <w:rPr>
          <w:spacing w:val="80"/>
        </w:rPr>
        <w:t> </w:t>
      </w:r>
      <w:r>
        <w:rPr/>
        <w:t>The term "BER-encoded" means the element is to be encoded using the Basic Encoding Rules [X.690] under the restrictions detailed in Section 5.1 of [RFC4511].</w:t>
      </w:r>
    </w:p>
    <w:p>
      <w:pPr>
        <w:pStyle w:val="BodyText"/>
        <w:spacing w:line="232" w:lineRule="auto" w:before="221"/>
        <w:ind w:right="2180"/>
      </w:pPr>
      <w:r>
        <w:rPr/>
        <w:t>DSA</w:t>
      </w:r>
      <w:r>
        <w:rPr>
          <w:spacing w:val="-6"/>
        </w:rPr>
        <w:t> </w:t>
      </w:r>
      <w:r>
        <w:rPr/>
        <w:t>stands</w:t>
      </w:r>
      <w:r>
        <w:rPr>
          <w:spacing w:val="-6"/>
        </w:rPr>
        <w:t> </w:t>
      </w:r>
      <w:r>
        <w:rPr/>
        <w:t>for</w:t>
      </w:r>
      <w:r>
        <w:rPr>
          <w:spacing w:val="-6"/>
        </w:rPr>
        <w:t> </w:t>
      </w:r>
      <w:r>
        <w:rPr/>
        <w:t>Directory</w:t>
      </w:r>
      <w:r>
        <w:rPr>
          <w:spacing w:val="-6"/>
        </w:rPr>
        <w:t> </w:t>
      </w:r>
      <w:r>
        <w:rPr/>
        <w:t>System</w:t>
      </w:r>
      <w:r>
        <w:rPr>
          <w:spacing w:val="-6"/>
        </w:rPr>
        <w:t> </w:t>
      </w:r>
      <w:r>
        <w:rPr/>
        <w:t>Agent</w:t>
      </w:r>
      <w:r>
        <w:rPr>
          <w:spacing w:val="-6"/>
        </w:rPr>
        <w:t> </w:t>
      </w:r>
      <w:r>
        <w:rPr/>
        <w:t>(or</w:t>
      </w:r>
      <w:r>
        <w:rPr>
          <w:spacing w:val="-6"/>
        </w:rPr>
        <w:t> </w:t>
      </w:r>
      <w:r>
        <w:rPr/>
        <w:t>server). DSE stands for DSA-specific Entry.</w:t>
      </w:r>
    </w:p>
    <w:p>
      <w:pPr>
        <w:pStyle w:val="BodyText"/>
        <w:spacing w:line="232" w:lineRule="auto" w:before="221"/>
      </w:pPr>
      <w:r>
        <w:rPr/>
        <w:t>In this document, the key words "MUST", "MUST NOT", "REQUIRED", "SHALL",</w:t>
      </w:r>
      <w:r>
        <w:rPr>
          <w:spacing w:val="-6"/>
        </w:rPr>
        <w:t> </w:t>
      </w:r>
      <w:r>
        <w:rPr/>
        <w:t>"SHALL</w:t>
      </w:r>
      <w:r>
        <w:rPr>
          <w:spacing w:val="-6"/>
        </w:rPr>
        <w:t> </w:t>
      </w:r>
      <w:r>
        <w:rPr/>
        <w:t>NOT",</w:t>
      </w:r>
      <w:r>
        <w:rPr>
          <w:spacing w:val="-6"/>
        </w:rPr>
        <w:t> </w:t>
      </w:r>
      <w:r>
        <w:rPr/>
        <w:t>"SHOULD",</w:t>
      </w:r>
      <w:r>
        <w:rPr>
          <w:spacing w:val="-6"/>
        </w:rPr>
        <w:t> </w:t>
      </w:r>
      <w:r>
        <w:rPr/>
        <w:t>"SHOULD</w:t>
      </w:r>
      <w:r>
        <w:rPr>
          <w:spacing w:val="-6"/>
        </w:rPr>
        <w:t> </w:t>
      </w:r>
      <w:r>
        <w:rPr/>
        <w:t>NOT",</w:t>
      </w:r>
      <w:r>
        <w:rPr>
          <w:spacing w:val="-6"/>
        </w:rPr>
        <w:t> </w:t>
      </w:r>
      <w:r>
        <w:rPr/>
        <w:t>"RECOMMENDED",</w:t>
      </w:r>
      <w:r>
        <w:rPr>
          <w:spacing w:val="-6"/>
        </w:rPr>
        <w:t> </w:t>
      </w:r>
      <w:r>
        <w:rPr/>
        <w:t>"MAY",</w:t>
      </w:r>
    </w:p>
    <w:p>
      <w:pPr>
        <w:pStyle w:val="BodyText"/>
        <w:spacing w:line="232" w:lineRule="auto"/>
        <w:ind w:right="862"/>
      </w:pPr>
      <w:r>
        <w:rPr/>
        <w:t>and</w:t>
      </w:r>
      <w:r>
        <w:rPr>
          <w:spacing w:val="-5"/>
        </w:rPr>
        <w:t> </w:t>
      </w:r>
      <w:r>
        <w:rPr/>
        <w:t>"OPTIONAL"</w:t>
      </w:r>
      <w:r>
        <w:rPr>
          <w:spacing w:val="-5"/>
        </w:rPr>
        <w:t> </w:t>
      </w:r>
      <w:r>
        <w:rPr/>
        <w:t>are</w:t>
      </w:r>
      <w:r>
        <w:rPr>
          <w:spacing w:val="-5"/>
        </w:rPr>
        <w:t> </w:t>
      </w:r>
      <w:r>
        <w:rPr/>
        <w:t>to</w:t>
      </w:r>
      <w:r>
        <w:rPr>
          <w:spacing w:val="-5"/>
        </w:rPr>
        <w:t> </w:t>
      </w:r>
      <w:r>
        <w:rPr/>
        <w:t>be</w:t>
      </w:r>
      <w:r>
        <w:rPr>
          <w:spacing w:val="-5"/>
        </w:rPr>
        <w:t> </w:t>
      </w:r>
      <w:r>
        <w:rPr/>
        <w:t>interpreted</w:t>
      </w:r>
      <w:r>
        <w:rPr>
          <w:spacing w:val="-5"/>
        </w:rPr>
        <w:t> </w:t>
      </w:r>
      <w:r>
        <w:rPr/>
        <w:t>as</w:t>
      </w:r>
      <w:r>
        <w:rPr>
          <w:spacing w:val="-5"/>
        </w:rPr>
        <w:t> </w:t>
      </w:r>
      <w:r>
        <w:rPr/>
        <w:t>described</w:t>
      </w:r>
      <w:r>
        <w:rPr>
          <w:spacing w:val="-5"/>
        </w:rPr>
        <w:t> </w:t>
      </w:r>
      <w:r>
        <w:rPr/>
        <w:t>in</w:t>
      </w:r>
      <w:r>
        <w:rPr>
          <w:spacing w:val="-5"/>
        </w:rPr>
        <w:t> </w:t>
      </w:r>
      <w:r>
        <w:rPr/>
        <w:t>BCP</w:t>
      </w:r>
      <w:r>
        <w:rPr>
          <w:spacing w:val="-5"/>
        </w:rPr>
        <w:t> </w:t>
      </w:r>
      <w:r>
        <w:rPr/>
        <w:t>14 </w:t>
      </w:r>
      <w:r>
        <w:rPr>
          <w:spacing w:val="-2"/>
        </w:rPr>
        <w:t>[RFC2119].</w:t>
      </w:r>
    </w:p>
    <w:p>
      <w:pPr>
        <w:pStyle w:val="ListParagraph"/>
        <w:numPr>
          <w:ilvl w:val="0"/>
          <w:numId w:val="2"/>
        </w:numPr>
        <w:tabs>
          <w:tab w:pos="638" w:val="left" w:leader="none"/>
        </w:tabs>
        <w:spacing w:line="240" w:lineRule="auto" w:before="216" w:after="0"/>
        <w:ind w:left="638" w:right="0" w:hanging="478"/>
        <w:jc w:val="left"/>
        <w:rPr>
          <w:sz w:val="20"/>
        </w:rPr>
      </w:pPr>
      <w:r>
        <w:rPr>
          <w:sz w:val="20"/>
        </w:rPr>
        <w:t>The</w:t>
      </w:r>
      <w:r>
        <w:rPr>
          <w:spacing w:val="-6"/>
          <w:sz w:val="20"/>
        </w:rPr>
        <w:t> </w:t>
      </w:r>
      <w:r>
        <w:rPr>
          <w:sz w:val="20"/>
        </w:rPr>
        <w:t>Assertion</w:t>
      </w:r>
      <w:r>
        <w:rPr>
          <w:spacing w:val="-6"/>
          <w:sz w:val="20"/>
        </w:rPr>
        <w:t> </w:t>
      </w:r>
      <w:r>
        <w:rPr>
          <w:spacing w:val="-2"/>
          <w:sz w:val="20"/>
        </w:rPr>
        <w:t>Control</w:t>
      </w:r>
    </w:p>
    <w:p>
      <w:pPr>
        <w:pStyle w:val="BodyText"/>
        <w:spacing w:line="232" w:lineRule="auto" w:before="218"/>
        <w:ind w:right="319"/>
      </w:pPr>
      <w:r>
        <w:rPr/>
        <w:t>The</w:t>
      </w:r>
      <w:r>
        <w:rPr>
          <w:spacing w:val="-5"/>
        </w:rPr>
        <w:t> </w:t>
      </w:r>
      <w:r>
        <w:rPr/>
        <w:t>assertion</w:t>
      </w:r>
      <w:r>
        <w:rPr>
          <w:spacing w:val="-5"/>
        </w:rPr>
        <w:t> </w:t>
      </w:r>
      <w:r>
        <w:rPr/>
        <w:t>control</w:t>
      </w:r>
      <w:r>
        <w:rPr>
          <w:spacing w:val="-5"/>
        </w:rPr>
        <w:t> </w:t>
      </w:r>
      <w:r>
        <w:rPr/>
        <w:t>is</w:t>
      </w:r>
      <w:r>
        <w:rPr>
          <w:spacing w:val="-5"/>
        </w:rPr>
        <w:t> </w:t>
      </w:r>
      <w:r>
        <w:rPr/>
        <w:t>an</w:t>
      </w:r>
      <w:r>
        <w:rPr>
          <w:spacing w:val="-5"/>
        </w:rPr>
        <w:t> </w:t>
      </w:r>
      <w:r>
        <w:rPr/>
        <w:t>LDAP</w:t>
      </w:r>
      <w:r>
        <w:rPr>
          <w:spacing w:val="-5"/>
        </w:rPr>
        <w:t> </w:t>
      </w:r>
      <w:r>
        <w:rPr/>
        <w:t>Control</w:t>
      </w:r>
      <w:r>
        <w:rPr>
          <w:spacing w:val="-5"/>
        </w:rPr>
        <w:t> </w:t>
      </w:r>
      <w:r>
        <w:rPr/>
        <w:t>[RFC4511]</w:t>
      </w:r>
      <w:r>
        <w:rPr>
          <w:spacing w:val="-5"/>
        </w:rPr>
        <w:t> </w:t>
      </w:r>
      <w:r>
        <w:rPr/>
        <w:t>whose</w:t>
      </w:r>
      <w:r>
        <w:rPr>
          <w:spacing w:val="-5"/>
        </w:rPr>
        <w:t> </w:t>
      </w:r>
      <w:r>
        <w:rPr/>
        <w:t>controlType is 1.3.6.1.1.12 and whose controlValue is a BER-encoded Filter [Protocol, Section 4.5.1].</w:t>
      </w:r>
      <w:r>
        <w:rPr>
          <w:spacing w:val="80"/>
        </w:rPr>
        <w:t> </w:t>
      </w:r>
      <w:r>
        <w:rPr/>
        <w:t>The criticality may be TRUE or FALSE. There is no corresponding response control.</w:t>
      </w:r>
    </w:p>
    <w:p>
      <w:pPr>
        <w:pStyle w:val="BodyText"/>
        <w:spacing w:line="232" w:lineRule="auto" w:before="221"/>
        <w:ind w:right="319"/>
      </w:pPr>
      <w:r>
        <w:rPr/>
        <w:t>The</w:t>
      </w:r>
      <w:r>
        <w:rPr>
          <w:spacing w:val="-5"/>
        </w:rPr>
        <w:t> </w:t>
      </w:r>
      <w:r>
        <w:rPr/>
        <w:t>control</w:t>
      </w:r>
      <w:r>
        <w:rPr>
          <w:spacing w:val="-5"/>
        </w:rPr>
        <w:t> </w:t>
      </w:r>
      <w:r>
        <w:rPr/>
        <w:t>is</w:t>
      </w:r>
      <w:r>
        <w:rPr>
          <w:spacing w:val="-5"/>
        </w:rPr>
        <w:t> </w:t>
      </w:r>
      <w:r>
        <w:rPr/>
        <w:t>appropriate</w:t>
      </w:r>
      <w:r>
        <w:rPr>
          <w:spacing w:val="-5"/>
        </w:rPr>
        <w:t> </w:t>
      </w:r>
      <w:r>
        <w:rPr/>
        <w:t>for</w:t>
      </w:r>
      <w:r>
        <w:rPr>
          <w:spacing w:val="-5"/>
        </w:rPr>
        <w:t> </w:t>
      </w:r>
      <w:r>
        <w:rPr/>
        <w:t>both</w:t>
      </w:r>
      <w:r>
        <w:rPr>
          <w:spacing w:val="-5"/>
        </w:rPr>
        <w:t> </w:t>
      </w:r>
      <w:r>
        <w:rPr/>
        <w:t>LDAP</w:t>
      </w:r>
      <w:r>
        <w:rPr>
          <w:spacing w:val="-5"/>
        </w:rPr>
        <w:t> </w:t>
      </w:r>
      <w:r>
        <w:rPr/>
        <w:t>interrogation</w:t>
      </w:r>
      <w:r>
        <w:rPr>
          <w:spacing w:val="-5"/>
        </w:rPr>
        <w:t> </w:t>
      </w:r>
      <w:r>
        <w:rPr/>
        <w:t>and</w:t>
      </w:r>
      <w:r>
        <w:rPr>
          <w:spacing w:val="-5"/>
        </w:rPr>
        <w:t> </w:t>
      </w:r>
      <w:r>
        <w:rPr/>
        <w:t>update operations [RFC4511], including Add, Compare, Delete, Modify, ModifyDN (rename), and Search.</w:t>
      </w:r>
      <w:r>
        <w:rPr>
          <w:spacing w:val="80"/>
        </w:rPr>
        <w:t> </w:t>
      </w:r>
      <w:r>
        <w:rPr/>
        <w:t>It is inappropriate for Abandon, Bind, Unbind, and StartTLS operations.</w:t>
      </w:r>
    </w:p>
    <w:p>
      <w:pPr>
        <w:pStyle w:val="BodyText"/>
        <w:spacing w:after="0" w:line="232" w:lineRule="auto"/>
        <w:sectPr>
          <w:headerReference w:type="default" r:id="rId6"/>
          <w:footerReference w:type="default" r:id="rId7"/>
          <w:pgSz w:w="12240" w:h="15840"/>
          <w:pgMar w:header="793" w:footer="2967" w:top="1360" w:bottom="3160" w:left="1440" w:right="1800"/>
          <w:pgNumType w:start="2"/>
        </w:sectPr>
      </w:pPr>
    </w:p>
    <w:p>
      <w:pPr>
        <w:pStyle w:val="BodyText"/>
        <w:spacing w:line="232" w:lineRule="auto" w:before="95"/>
        <w:ind w:right="199"/>
      </w:pPr>
      <w:r>
        <w:rPr/>
        <w:t>When the control is attached to an LDAP request, the processing of the</w:t>
      </w:r>
      <w:r>
        <w:rPr>
          <w:spacing w:val="-4"/>
        </w:rPr>
        <w:t> </w:t>
      </w:r>
      <w:r>
        <w:rPr/>
        <w:t>request</w:t>
      </w:r>
      <w:r>
        <w:rPr>
          <w:spacing w:val="-4"/>
        </w:rPr>
        <w:t> </w:t>
      </w:r>
      <w:r>
        <w:rPr/>
        <w:t>is</w:t>
      </w:r>
      <w:r>
        <w:rPr>
          <w:spacing w:val="-4"/>
        </w:rPr>
        <w:t> </w:t>
      </w:r>
      <w:r>
        <w:rPr/>
        <w:t>conditional</w:t>
      </w:r>
      <w:r>
        <w:rPr>
          <w:spacing w:val="-4"/>
        </w:rPr>
        <w:t> </w:t>
      </w:r>
      <w:r>
        <w:rPr/>
        <w:t>on</w:t>
      </w:r>
      <w:r>
        <w:rPr>
          <w:spacing w:val="-4"/>
        </w:rPr>
        <w:t> </w:t>
      </w:r>
      <w:r>
        <w:rPr/>
        <w:t>the</w:t>
      </w:r>
      <w:r>
        <w:rPr>
          <w:spacing w:val="-4"/>
        </w:rPr>
        <w:t> </w:t>
      </w:r>
      <w:r>
        <w:rPr/>
        <w:t>evaluation</w:t>
      </w:r>
      <w:r>
        <w:rPr>
          <w:spacing w:val="-4"/>
        </w:rPr>
        <w:t> </w:t>
      </w:r>
      <w:r>
        <w:rPr/>
        <w:t>of</w:t>
      </w:r>
      <w:r>
        <w:rPr>
          <w:spacing w:val="-4"/>
        </w:rPr>
        <w:t> </w:t>
      </w:r>
      <w:r>
        <w:rPr/>
        <w:t>the</w:t>
      </w:r>
      <w:r>
        <w:rPr>
          <w:spacing w:val="-4"/>
        </w:rPr>
        <w:t> </w:t>
      </w:r>
      <w:r>
        <w:rPr/>
        <w:t>Filter</w:t>
      </w:r>
      <w:r>
        <w:rPr>
          <w:spacing w:val="-4"/>
        </w:rPr>
        <w:t> </w:t>
      </w:r>
      <w:r>
        <w:rPr/>
        <w:t>as</w:t>
      </w:r>
      <w:r>
        <w:rPr>
          <w:spacing w:val="-4"/>
        </w:rPr>
        <w:t> </w:t>
      </w:r>
      <w:r>
        <w:rPr/>
        <w:t>applied against the target of the operation.</w:t>
      </w:r>
      <w:r>
        <w:rPr>
          <w:spacing w:val="80"/>
          <w:w w:val="150"/>
        </w:rPr>
        <w:t> </w:t>
      </w:r>
      <w:r>
        <w:rPr/>
        <w:t>If the Filter evaluates to TRUE, then the request is processed normally.</w:t>
      </w:r>
      <w:r>
        <w:rPr>
          <w:spacing w:val="80"/>
          <w:w w:val="150"/>
        </w:rPr>
        <w:t> </w:t>
      </w:r>
      <w:r>
        <w:rPr/>
        <w:t>If the Filter evaluates to FALSE or Undefined, then assertionFailed (122) resultCode is returned, and no further processing is performed.</w:t>
      </w:r>
    </w:p>
    <w:p>
      <w:pPr>
        <w:pStyle w:val="BodyText"/>
        <w:spacing w:line="232" w:lineRule="auto" w:before="221"/>
        <w:ind w:right="199"/>
      </w:pPr>
      <w:r>
        <w:rPr/>
        <w:t>For</w:t>
      </w:r>
      <w:r>
        <w:rPr>
          <w:spacing w:val="-5"/>
        </w:rPr>
        <w:t> </w:t>
      </w:r>
      <w:r>
        <w:rPr/>
        <w:t>Add,</w:t>
      </w:r>
      <w:r>
        <w:rPr>
          <w:spacing w:val="-5"/>
        </w:rPr>
        <w:t> </w:t>
      </w:r>
      <w:r>
        <w:rPr/>
        <w:t>Compare,</w:t>
      </w:r>
      <w:r>
        <w:rPr>
          <w:spacing w:val="-5"/>
        </w:rPr>
        <w:t> </w:t>
      </w:r>
      <w:r>
        <w:rPr/>
        <w:t>and</w:t>
      </w:r>
      <w:r>
        <w:rPr>
          <w:spacing w:val="-5"/>
        </w:rPr>
        <w:t> </w:t>
      </w:r>
      <w:r>
        <w:rPr/>
        <w:t>ModifyDN</w:t>
      </w:r>
      <w:r>
        <w:rPr>
          <w:spacing w:val="-5"/>
        </w:rPr>
        <w:t> </w:t>
      </w:r>
      <w:r>
        <w:rPr/>
        <w:t>operations,</w:t>
      </w:r>
      <w:r>
        <w:rPr>
          <w:spacing w:val="-5"/>
        </w:rPr>
        <w:t> </w:t>
      </w:r>
      <w:r>
        <w:rPr/>
        <w:t>the</w:t>
      </w:r>
      <w:r>
        <w:rPr>
          <w:spacing w:val="-5"/>
        </w:rPr>
        <w:t> </w:t>
      </w:r>
      <w:r>
        <w:rPr/>
        <w:t>target</w:t>
      </w:r>
      <w:r>
        <w:rPr>
          <w:spacing w:val="-5"/>
        </w:rPr>
        <w:t> </w:t>
      </w:r>
      <w:r>
        <w:rPr/>
        <w:t>is</w:t>
      </w:r>
      <w:r>
        <w:rPr>
          <w:spacing w:val="-5"/>
        </w:rPr>
        <w:t> </w:t>
      </w:r>
      <w:r>
        <w:rPr/>
        <w:t>indicated</w:t>
      </w:r>
      <w:r>
        <w:rPr>
          <w:spacing w:val="-5"/>
        </w:rPr>
        <w:t> </w:t>
      </w:r>
      <w:r>
        <w:rPr/>
        <w:t>by the</w:t>
      </w:r>
      <w:r>
        <w:rPr>
          <w:spacing w:val="-4"/>
        </w:rPr>
        <w:t> </w:t>
      </w:r>
      <w:r>
        <w:rPr/>
        <w:t>entry</w:t>
      </w:r>
      <w:r>
        <w:rPr>
          <w:spacing w:val="-4"/>
        </w:rPr>
        <w:t> </w:t>
      </w:r>
      <w:r>
        <w:rPr/>
        <w:t>field</w:t>
      </w:r>
      <w:r>
        <w:rPr>
          <w:spacing w:val="-4"/>
        </w:rPr>
        <w:t> </w:t>
      </w:r>
      <w:r>
        <w:rPr/>
        <w:t>in</w:t>
      </w:r>
      <w:r>
        <w:rPr>
          <w:spacing w:val="-4"/>
        </w:rPr>
        <w:t> </w:t>
      </w:r>
      <w:r>
        <w:rPr/>
        <w:t>the</w:t>
      </w:r>
      <w:r>
        <w:rPr>
          <w:spacing w:val="-4"/>
        </w:rPr>
        <w:t> </w:t>
      </w:r>
      <w:r>
        <w:rPr/>
        <w:t>request.</w:t>
      </w:r>
      <w:r>
        <w:rPr>
          <w:spacing w:val="80"/>
        </w:rPr>
        <w:t> </w:t>
      </w:r>
      <w:r>
        <w:rPr/>
        <w:t>For</w:t>
      </w:r>
      <w:r>
        <w:rPr>
          <w:spacing w:val="-4"/>
        </w:rPr>
        <w:t> </w:t>
      </w:r>
      <w:r>
        <w:rPr/>
        <w:t>Modify</w:t>
      </w:r>
      <w:r>
        <w:rPr>
          <w:spacing w:val="-4"/>
        </w:rPr>
        <w:t> </w:t>
      </w:r>
      <w:r>
        <w:rPr/>
        <w:t>operations,</w:t>
      </w:r>
      <w:r>
        <w:rPr>
          <w:spacing w:val="-4"/>
        </w:rPr>
        <w:t> </w:t>
      </w:r>
      <w:r>
        <w:rPr/>
        <w:t>the</w:t>
      </w:r>
      <w:r>
        <w:rPr>
          <w:spacing w:val="-4"/>
        </w:rPr>
        <w:t> </w:t>
      </w:r>
      <w:r>
        <w:rPr/>
        <w:t>target</w:t>
      </w:r>
      <w:r>
        <w:rPr>
          <w:spacing w:val="-4"/>
        </w:rPr>
        <w:t> </w:t>
      </w:r>
      <w:r>
        <w:rPr/>
        <w:t>is indicated by the object field.</w:t>
      </w:r>
      <w:r>
        <w:rPr>
          <w:spacing w:val="80"/>
        </w:rPr>
        <w:t> </w:t>
      </w:r>
      <w:r>
        <w:rPr/>
        <w:t>For Delete operations, the target is indicated by the DelRequest type.</w:t>
      </w:r>
      <w:r>
        <w:rPr>
          <w:spacing w:val="80"/>
        </w:rPr>
        <w:t> </w:t>
      </w:r>
      <w:r>
        <w:rPr/>
        <w:t>For Compare operations and all update operations, the evaluation of the assertion MUST be performed as</w:t>
      </w:r>
      <w:r>
        <w:rPr>
          <w:spacing w:val="-4"/>
        </w:rPr>
        <w:t> </w:t>
      </w:r>
      <w:r>
        <w:rPr/>
        <w:t>an</w:t>
      </w:r>
      <w:r>
        <w:rPr>
          <w:spacing w:val="-4"/>
        </w:rPr>
        <w:t> </w:t>
      </w:r>
      <w:r>
        <w:rPr/>
        <w:t>integral</w:t>
      </w:r>
      <w:r>
        <w:rPr>
          <w:spacing w:val="-4"/>
        </w:rPr>
        <w:t> </w:t>
      </w:r>
      <w:r>
        <w:rPr/>
        <w:t>part</w:t>
      </w:r>
      <w:r>
        <w:rPr>
          <w:spacing w:val="-4"/>
        </w:rPr>
        <w:t> </w:t>
      </w:r>
      <w:r>
        <w:rPr/>
        <w:t>of</w:t>
      </w:r>
      <w:r>
        <w:rPr>
          <w:spacing w:val="-4"/>
        </w:rPr>
        <w:t> </w:t>
      </w:r>
      <w:r>
        <w:rPr/>
        <w:t>the</w:t>
      </w:r>
      <w:r>
        <w:rPr>
          <w:spacing w:val="-4"/>
        </w:rPr>
        <w:t> </w:t>
      </w:r>
      <w:r>
        <w:rPr/>
        <w:t>operation.</w:t>
      </w:r>
      <w:r>
        <w:rPr>
          <w:spacing w:val="80"/>
        </w:rPr>
        <w:t> </w:t>
      </w:r>
      <w:r>
        <w:rPr/>
        <w:t>That</w:t>
      </w:r>
      <w:r>
        <w:rPr>
          <w:spacing w:val="-4"/>
        </w:rPr>
        <w:t> </w:t>
      </w:r>
      <w:r>
        <w:rPr/>
        <w:t>is,</w:t>
      </w:r>
      <w:r>
        <w:rPr>
          <w:spacing w:val="-4"/>
        </w:rPr>
        <w:t> </w:t>
      </w:r>
      <w:r>
        <w:rPr/>
        <w:t>the</w:t>
      </w:r>
      <w:r>
        <w:rPr>
          <w:spacing w:val="-4"/>
        </w:rPr>
        <w:t> </w:t>
      </w:r>
      <w:r>
        <w:rPr/>
        <w:t>evaluation</w:t>
      </w:r>
      <w:r>
        <w:rPr>
          <w:spacing w:val="-4"/>
        </w:rPr>
        <w:t> </w:t>
      </w:r>
      <w:r>
        <w:rPr/>
        <w:t>of</w:t>
      </w:r>
      <w:r>
        <w:rPr>
          <w:spacing w:val="-4"/>
        </w:rPr>
        <w:t> </w:t>
      </w:r>
      <w:r>
        <w:rPr/>
        <w:t>the assertion</w:t>
      </w:r>
      <w:r>
        <w:rPr>
          <w:spacing w:val="-4"/>
        </w:rPr>
        <w:t> </w:t>
      </w:r>
      <w:r>
        <w:rPr/>
        <w:t>and</w:t>
      </w:r>
      <w:r>
        <w:rPr>
          <w:spacing w:val="-4"/>
        </w:rPr>
        <w:t> </w:t>
      </w:r>
      <w:r>
        <w:rPr/>
        <w:t>the</w:t>
      </w:r>
      <w:r>
        <w:rPr>
          <w:spacing w:val="-4"/>
        </w:rPr>
        <w:t> </w:t>
      </w:r>
      <w:r>
        <w:rPr/>
        <w:t>normal</w:t>
      </w:r>
      <w:r>
        <w:rPr>
          <w:spacing w:val="-4"/>
        </w:rPr>
        <w:t> </w:t>
      </w:r>
      <w:r>
        <w:rPr/>
        <w:t>processing</w:t>
      </w:r>
      <w:r>
        <w:rPr>
          <w:spacing w:val="-4"/>
        </w:rPr>
        <w:t> </w:t>
      </w:r>
      <w:r>
        <w:rPr/>
        <w:t>of</w:t>
      </w:r>
      <w:r>
        <w:rPr>
          <w:spacing w:val="-4"/>
        </w:rPr>
        <w:t> </w:t>
      </w:r>
      <w:r>
        <w:rPr/>
        <w:t>the</w:t>
      </w:r>
      <w:r>
        <w:rPr>
          <w:spacing w:val="-4"/>
        </w:rPr>
        <w:t> </w:t>
      </w:r>
      <w:r>
        <w:rPr/>
        <w:t>operation</w:t>
      </w:r>
      <w:r>
        <w:rPr>
          <w:spacing w:val="-4"/>
        </w:rPr>
        <w:t> </w:t>
      </w:r>
      <w:r>
        <w:rPr/>
        <w:t>SHALL</w:t>
      </w:r>
      <w:r>
        <w:rPr>
          <w:spacing w:val="-4"/>
        </w:rPr>
        <w:t> </w:t>
      </w:r>
      <w:r>
        <w:rPr/>
        <w:t>be</w:t>
      </w:r>
      <w:r>
        <w:rPr>
          <w:spacing w:val="-4"/>
        </w:rPr>
        <w:t> </w:t>
      </w:r>
      <w:r>
        <w:rPr/>
        <w:t>done</w:t>
      </w:r>
      <w:r>
        <w:rPr>
          <w:spacing w:val="-4"/>
        </w:rPr>
        <w:t> </w:t>
      </w:r>
      <w:r>
        <w:rPr/>
        <w:t>as one atomic action.</w:t>
      </w:r>
    </w:p>
    <w:p>
      <w:pPr>
        <w:pStyle w:val="BodyText"/>
        <w:spacing w:line="232" w:lineRule="auto" w:before="222"/>
        <w:ind w:right="199"/>
      </w:pPr>
      <w:r>
        <w:rPr/>
        <w:t>For Search operations, the target is indicated by the baseObject field, and the evaluation is done after "finding" but before "searching"</w:t>
      </w:r>
      <w:r>
        <w:rPr>
          <w:spacing w:val="-6"/>
        </w:rPr>
        <w:t> </w:t>
      </w:r>
      <w:r>
        <w:rPr/>
        <w:t>[RFC4511].</w:t>
      </w:r>
      <w:r>
        <w:rPr>
          <w:spacing w:val="80"/>
        </w:rPr>
        <w:t> </w:t>
      </w:r>
      <w:r>
        <w:rPr/>
        <w:t>Hence,</w:t>
      </w:r>
      <w:r>
        <w:rPr>
          <w:spacing w:val="-6"/>
        </w:rPr>
        <w:t> </w:t>
      </w:r>
      <w:r>
        <w:rPr/>
        <w:t>no</w:t>
      </w:r>
      <w:r>
        <w:rPr>
          <w:spacing w:val="-6"/>
        </w:rPr>
        <w:t> </w:t>
      </w:r>
      <w:r>
        <w:rPr/>
        <w:t>entries</w:t>
      </w:r>
      <w:r>
        <w:rPr>
          <w:spacing w:val="-6"/>
        </w:rPr>
        <w:t> </w:t>
      </w:r>
      <w:r>
        <w:rPr/>
        <w:t>or</w:t>
      </w:r>
      <w:r>
        <w:rPr>
          <w:spacing w:val="-6"/>
        </w:rPr>
        <w:t> </w:t>
      </w:r>
      <w:r>
        <w:rPr/>
        <w:t>continuations</w:t>
      </w:r>
      <w:r>
        <w:rPr>
          <w:spacing w:val="-6"/>
        </w:rPr>
        <w:t> </w:t>
      </w:r>
      <w:r>
        <w:rPr/>
        <w:t>references are returned if the assertion fails.</w:t>
      </w:r>
    </w:p>
    <w:p>
      <w:pPr>
        <w:pStyle w:val="BodyText"/>
        <w:spacing w:line="232" w:lineRule="auto" w:before="221"/>
        <w:ind w:right="319"/>
      </w:pPr>
      <w:r>
        <w:rPr/>
        <w:t>Servers</w:t>
      </w:r>
      <w:r>
        <w:rPr>
          <w:spacing w:val="-6"/>
        </w:rPr>
        <w:t> </w:t>
      </w:r>
      <w:r>
        <w:rPr/>
        <w:t>implementing</w:t>
      </w:r>
      <w:r>
        <w:rPr>
          <w:spacing w:val="-6"/>
        </w:rPr>
        <w:t> </w:t>
      </w:r>
      <w:r>
        <w:rPr/>
        <w:t>this</w:t>
      </w:r>
      <w:r>
        <w:rPr>
          <w:spacing w:val="-6"/>
        </w:rPr>
        <w:t> </w:t>
      </w:r>
      <w:r>
        <w:rPr/>
        <w:t>technical</w:t>
      </w:r>
      <w:r>
        <w:rPr>
          <w:spacing w:val="-6"/>
        </w:rPr>
        <w:t> </w:t>
      </w:r>
      <w:r>
        <w:rPr/>
        <w:t>specification</w:t>
      </w:r>
      <w:r>
        <w:rPr>
          <w:spacing w:val="-6"/>
        </w:rPr>
        <w:t> </w:t>
      </w:r>
      <w:r>
        <w:rPr/>
        <w:t>SHOULD</w:t>
      </w:r>
      <w:r>
        <w:rPr>
          <w:spacing w:val="-6"/>
        </w:rPr>
        <w:t> </w:t>
      </w:r>
      <w:r>
        <w:rPr/>
        <w:t>publish</w:t>
      </w:r>
      <w:r>
        <w:rPr>
          <w:spacing w:val="-6"/>
        </w:rPr>
        <w:t> </w:t>
      </w:r>
      <w:r>
        <w:rPr/>
        <w:t>the object identifier 1.3.6.1.1.12 as a value of the ’supportedControl’ attribute [RFC4512] in their root DSE.</w:t>
      </w:r>
      <w:r>
        <w:rPr>
          <w:spacing w:val="80"/>
        </w:rPr>
        <w:t> </w:t>
      </w:r>
      <w:r>
        <w:rPr/>
        <w:t>A server MAY choose to advertise this extension only when the client is authorized to use </w:t>
      </w:r>
      <w:r>
        <w:rPr>
          <w:spacing w:val="-4"/>
        </w:rPr>
        <w:t>it.</w:t>
      </w:r>
    </w:p>
    <w:p>
      <w:pPr>
        <w:pStyle w:val="BodyText"/>
        <w:spacing w:line="232" w:lineRule="auto" w:before="221"/>
      </w:pPr>
      <w:r>
        <w:rPr/>
        <w:t>Other</w:t>
      </w:r>
      <w:r>
        <w:rPr>
          <w:spacing w:val="-5"/>
        </w:rPr>
        <w:t> </w:t>
      </w:r>
      <w:r>
        <w:rPr/>
        <w:t>documents</w:t>
      </w:r>
      <w:r>
        <w:rPr>
          <w:spacing w:val="-5"/>
        </w:rPr>
        <w:t> </w:t>
      </w:r>
      <w:r>
        <w:rPr/>
        <w:t>may</w:t>
      </w:r>
      <w:r>
        <w:rPr>
          <w:spacing w:val="-5"/>
        </w:rPr>
        <w:t> </w:t>
      </w:r>
      <w:r>
        <w:rPr/>
        <w:t>specify</w:t>
      </w:r>
      <w:r>
        <w:rPr>
          <w:spacing w:val="-5"/>
        </w:rPr>
        <w:t> </w:t>
      </w:r>
      <w:r>
        <w:rPr/>
        <w:t>how</w:t>
      </w:r>
      <w:r>
        <w:rPr>
          <w:spacing w:val="-5"/>
        </w:rPr>
        <w:t> </w:t>
      </w:r>
      <w:r>
        <w:rPr/>
        <w:t>this</w:t>
      </w:r>
      <w:r>
        <w:rPr>
          <w:spacing w:val="-5"/>
        </w:rPr>
        <w:t> </w:t>
      </w:r>
      <w:r>
        <w:rPr/>
        <w:t>control</w:t>
      </w:r>
      <w:r>
        <w:rPr>
          <w:spacing w:val="-5"/>
        </w:rPr>
        <w:t> </w:t>
      </w:r>
      <w:r>
        <w:rPr/>
        <w:t>applies</w:t>
      </w:r>
      <w:r>
        <w:rPr>
          <w:spacing w:val="-5"/>
        </w:rPr>
        <w:t> </w:t>
      </w:r>
      <w:r>
        <w:rPr/>
        <w:t>to</w:t>
      </w:r>
      <w:r>
        <w:rPr>
          <w:spacing w:val="-5"/>
        </w:rPr>
        <w:t> </w:t>
      </w:r>
      <w:r>
        <w:rPr/>
        <w:t>other</w:t>
      </w:r>
      <w:r>
        <w:rPr>
          <w:spacing w:val="-5"/>
        </w:rPr>
        <w:t> </w:t>
      </w:r>
      <w:r>
        <w:rPr/>
        <w:t>LDAP operations.</w:t>
      </w:r>
      <w:r>
        <w:rPr>
          <w:spacing w:val="80"/>
        </w:rPr>
        <w:t> </w:t>
      </w:r>
      <w:r>
        <w:rPr/>
        <w:t>In doing so, they must state how the target entry is </w:t>
      </w:r>
      <w:r>
        <w:rPr>
          <w:spacing w:val="-2"/>
        </w:rPr>
        <w:t>determined.</w:t>
      </w:r>
    </w:p>
    <w:p>
      <w:pPr>
        <w:pStyle w:val="ListParagraph"/>
        <w:numPr>
          <w:ilvl w:val="0"/>
          <w:numId w:val="2"/>
        </w:numPr>
        <w:tabs>
          <w:tab w:pos="638" w:val="left" w:leader="none"/>
        </w:tabs>
        <w:spacing w:line="240" w:lineRule="auto" w:before="216"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8"/>
        <w:ind w:right="319"/>
      </w:pPr>
      <w:r>
        <w:rPr/>
        <w:t>The filter may, like other components of the request, contain sensitive</w:t>
      </w:r>
      <w:r>
        <w:rPr>
          <w:spacing w:val="-5"/>
        </w:rPr>
        <w:t> </w:t>
      </w:r>
      <w:r>
        <w:rPr/>
        <w:t>information.</w:t>
      </w:r>
      <w:r>
        <w:rPr>
          <w:spacing w:val="80"/>
        </w:rPr>
        <w:t> </w:t>
      </w:r>
      <w:r>
        <w:rPr/>
        <w:t>When</w:t>
      </w:r>
      <w:r>
        <w:rPr>
          <w:spacing w:val="-5"/>
        </w:rPr>
        <w:t> </w:t>
      </w:r>
      <w:r>
        <w:rPr/>
        <w:t>it</w:t>
      </w:r>
      <w:r>
        <w:rPr>
          <w:spacing w:val="-5"/>
        </w:rPr>
        <w:t> </w:t>
      </w:r>
      <w:r>
        <w:rPr/>
        <w:t>does,</w:t>
      </w:r>
      <w:r>
        <w:rPr>
          <w:spacing w:val="-5"/>
        </w:rPr>
        <w:t> </w:t>
      </w:r>
      <w:r>
        <w:rPr/>
        <w:t>this</w:t>
      </w:r>
      <w:r>
        <w:rPr>
          <w:spacing w:val="-5"/>
        </w:rPr>
        <w:t> </w:t>
      </w:r>
      <w:r>
        <w:rPr/>
        <w:t>information</w:t>
      </w:r>
      <w:r>
        <w:rPr>
          <w:spacing w:val="-5"/>
        </w:rPr>
        <w:t> </w:t>
      </w:r>
      <w:r>
        <w:rPr/>
        <w:t>should</w:t>
      </w:r>
      <w:r>
        <w:rPr>
          <w:spacing w:val="-5"/>
        </w:rPr>
        <w:t> </w:t>
      </w:r>
      <w:r>
        <w:rPr/>
        <w:t>be appropriately protected.</w:t>
      </w:r>
    </w:p>
    <w:p>
      <w:pPr>
        <w:pStyle w:val="BodyText"/>
        <w:spacing w:line="232" w:lineRule="auto" w:before="221"/>
        <w:ind w:right="199"/>
        <w:jc w:val="both"/>
      </w:pPr>
      <w:r>
        <w:rPr/>
        <w:t>As</w:t>
      </w:r>
      <w:r>
        <w:rPr>
          <w:spacing w:val="-4"/>
        </w:rPr>
        <w:t> </w:t>
      </w:r>
      <w:r>
        <w:rPr/>
        <w:t>with</w:t>
      </w:r>
      <w:r>
        <w:rPr>
          <w:spacing w:val="-4"/>
        </w:rPr>
        <w:t> </w:t>
      </w:r>
      <w:r>
        <w:rPr/>
        <w:t>any</w:t>
      </w:r>
      <w:r>
        <w:rPr>
          <w:spacing w:val="-4"/>
        </w:rPr>
        <w:t> </w:t>
      </w:r>
      <w:r>
        <w:rPr/>
        <w:t>general</w:t>
      </w:r>
      <w:r>
        <w:rPr>
          <w:spacing w:val="-4"/>
        </w:rPr>
        <w:t> </w:t>
      </w:r>
      <w:r>
        <w:rPr/>
        <w:t>assertion</w:t>
      </w:r>
      <w:r>
        <w:rPr>
          <w:spacing w:val="-4"/>
        </w:rPr>
        <w:t> </w:t>
      </w:r>
      <w:r>
        <w:rPr/>
        <w:t>mechanism,</w:t>
      </w:r>
      <w:r>
        <w:rPr>
          <w:spacing w:val="-4"/>
        </w:rPr>
        <w:t> </w:t>
      </w:r>
      <w:r>
        <w:rPr/>
        <w:t>the</w:t>
      </w:r>
      <w:r>
        <w:rPr>
          <w:spacing w:val="-4"/>
        </w:rPr>
        <w:t> </w:t>
      </w:r>
      <w:r>
        <w:rPr/>
        <w:t>mechanism</w:t>
      </w:r>
      <w:r>
        <w:rPr>
          <w:spacing w:val="-4"/>
        </w:rPr>
        <w:t> </w:t>
      </w:r>
      <w:r>
        <w:rPr/>
        <w:t>can</w:t>
      </w:r>
      <w:r>
        <w:rPr>
          <w:spacing w:val="-4"/>
        </w:rPr>
        <w:t> </w:t>
      </w:r>
      <w:r>
        <w:rPr/>
        <w:t>be</w:t>
      </w:r>
      <w:r>
        <w:rPr>
          <w:spacing w:val="-4"/>
        </w:rPr>
        <w:t> </w:t>
      </w:r>
      <w:r>
        <w:rPr/>
        <w:t>used</w:t>
      </w:r>
      <w:r>
        <w:rPr>
          <w:spacing w:val="-4"/>
        </w:rPr>
        <w:t> </w:t>
      </w:r>
      <w:r>
        <w:rPr/>
        <w:t>to determine</w:t>
      </w:r>
      <w:r>
        <w:rPr>
          <w:spacing w:val="-5"/>
        </w:rPr>
        <w:t> </w:t>
      </w:r>
      <w:r>
        <w:rPr/>
        <w:t>directory</w:t>
      </w:r>
      <w:r>
        <w:rPr>
          <w:spacing w:val="-5"/>
        </w:rPr>
        <w:t> </w:t>
      </w:r>
      <w:r>
        <w:rPr/>
        <w:t>content.</w:t>
      </w:r>
      <w:r>
        <w:rPr>
          <w:spacing w:val="80"/>
        </w:rPr>
        <w:t> </w:t>
      </w:r>
      <w:r>
        <w:rPr/>
        <w:t>Hence,</w:t>
      </w:r>
      <w:r>
        <w:rPr>
          <w:spacing w:val="-5"/>
        </w:rPr>
        <w:t> </w:t>
      </w:r>
      <w:r>
        <w:rPr/>
        <w:t>this</w:t>
      </w:r>
      <w:r>
        <w:rPr>
          <w:spacing w:val="-5"/>
        </w:rPr>
        <w:t> </w:t>
      </w:r>
      <w:r>
        <w:rPr/>
        <w:t>mechanism</w:t>
      </w:r>
      <w:r>
        <w:rPr>
          <w:spacing w:val="-5"/>
        </w:rPr>
        <w:t> </w:t>
      </w:r>
      <w:r>
        <w:rPr/>
        <w:t>SHOULD</w:t>
      </w:r>
      <w:r>
        <w:rPr>
          <w:spacing w:val="-5"/>
        </w:rPr>
        <w:t> </w:t>
      </w:r>
      <w:r>
        <w:rPr/>
        <w:t>be</w:t>
      </w:r>
      <w:r>
        <w:rPr>
          <w:spacing w:val="-5"/>
        </w:rPr>
        <w:t> </w:t>
      </w:r>
      <w:r>
        <w:rPr/>
        <w:t>subject to appropriate access controls.</w:t>
      </w:r>
    </w:p>
    <w:p>
      <w:pPr>
        <w:pStyle w:val="BodyText"/>
        <w:spacing w:line="232" w:lineRule="auto" w:before="221"/>
      </w:pPr>
      <w:r>
        <w:rPr/>
        <w:t>Some</w:t>
      </w:r>
      <w:r>
        <w:rPr>
          <w:spacing w:val="-5"/>
        </w:rPr>
        <w:t> </w:t>
      </w:r>
      <w:r>
        <w:rPr/>
        <w:t>assertions</w:t>
      </w:r>
      <w:r>
        <w:rPr>
          <w:spacing w:val="-5"/>
        </w:rPr>
        <w:t> </w:t>
      </w:r>
      <w:r>
        <w:rPr/>
        <w:t>may</w:t>
      </w:r>
      <w:r>
        <w:rPr>
          <w:spacing w:val="-5"/>
        </w:rPr>
        <w:t> </w:t>
      </w:r>
      <w:r>
        <w:rPr/>
        <w:t>be</w:t>
      </w:r>
      <w:r>
        <w:rPr>
          <w:spacing w:val="-5"/>
        </w:rPr>
        <w:t> </w:t>
      </w:r>
      <w:r>
        <w:rPr/>
        <w:t>very</w:t>
      </w:r>
      <w:r>
        <w:rPr>
          <w:spacing w:val="-5"/>
        </w:rPr>
        <w:t> </w:t>
      </w:r>
      <w:r>
        <w:rPr/>
        <w:t>complex,</w:t>
      </w:r>
      <w:r>
        <w:rPr>
          <w:spacing w:val="-5"/>
        </w:rPr>
        <w:t> </w:t>
      </w:r>
      <w:r>
        <w:rPr/>
        <w:t>requiring</w:t>
      </w:r>
      <w:r>
        <w:rPr>
          <w:spacing w:val="-5"/>
        </w:rPr>
        <w:t> </w:t>
      </w:r>
      <w:r>
        <w:rPr/>
        <w:t>significant</w:t>
      </w:r>
      <w:r>
        <w:rPr>
          <w:spacing w:val="-5"/>
        </w:rPr>
        <w:t> </w:t>
      </w:r>
      <w:r>
        <w:rPr/>
        <w:t>time</w:t>
      </w:r>
      <w:r>
        <w:rPr>
          <w:spacing w:val="-5"/>
        </w:rPr>
        <w:t> </w:t>
      </w:r>
      <w:r>
        <w:rPr/>
        <w:t>and resources to evaluate.</w:t>
      </w:r>
      <w:r>
        <w:rPr>
          <w:spacing w:val="80"/>
        </w:rPr>
        <w:t> </w:t>
      </w:r>
      <w:r>
        <w:rPr/>
        <w:t>Hence, this mechanism SHOULD be subject to appropriate administrative controls.</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Security</w:t>
      </w:r>
      <w:r>
        <w:rPr>
          <w:spacing w:val="-6"/>
        </w:rPr>
        <w:t> </w:t>
      </w:r>
      <w:r>
        <w:rPr/>
        <w:t>considerations</w:t>
      </w:r>
      <w:r>
        <w:rPr>
          <w:spacing w:val="-6"/>
        </w:rPr>
        <w:t> </w:t>
      </w:r>
      <w:r>
        <w:rPr/>
        <w:t>for</w:t>
      </w:r>
      <w:r>
        <w:rPr>
          <w:spacing w:val="-6"/>
        </w:rPr>
        <w:t> </w:t>
      </w:r>
      <w:r>
        <w:rPr/>
        <w:t>the</w:t>
      </w:r>
      <w:r>
        <w:rPr>
          <w:spacing w:val="-6"/>
        </w:rPr>
        <w:t> </w:t>
      </w:r>
      <w:r>
        <w:rPr/>
        <w:t>base</w:t>
      </w:r>
      <w:r>
        <w:rPr>
          <w:spacing w:val="-6"/>
        </w:rPr>
        <w:t> </w:t>
      </w:r>
      <w:r>
        <w:rPr/>
        <w:t>operations</w:t>
      </w:r>
      <w:r>
        <w:rPr>
          <w:spacing w:val="-6"/>
        </w:rPr>
        <w:t> </w:t>
      </w:r>
      <w:r>
        <w:rPr/>
        <w:t>[RFC4511]</w:t>
      </w:r>
      <w:r>
        <w:rPr>
          <w:spacing w:val="-6"/>
        </w:rPr>
        <w:t> </w:t>
      </w:r>
      <w:r>
        <w:rPr/>
        <w:t>extended</w:t>
      </w:r>
      <w:r>
        <w:rPr>
          <w:spacing w:val="-6"/>
        </w:rPr>
        <w:t> </w:t>
      </w:r>
      <w:r>
        <w:rPr/>
        <w:t>by this control, as well as general LDAP security considerations [RFC4510], generally apply to implementation and use of this </w:t>
      </w:r>
      <w:r>
        <w:rPr>
          <w:spacing w:val="-2"/>
        </w:rPr>
        <w:t>extension.</w:t>
      </w:r>
    </w:p>
    <w:p>
      <w:pPr>
        <w:pStyle w:val="ListParagraph"/>
        <w:numPr>
          <w:ilvl w:val="0"/>
          <w:numId w:val="2"/>
        </w:numPr>
        <w:tabs>
          <w:tab w:pos="638" w:val="left" w:leader="none"/>
        </w:tabs>
        <w:spacing w:line="240" w:lineRule="auto" w:before="216" w:after="0"/>
        <w:ind w:left="638" w:right="0" w:hanging="478"/>
        <w:jc w:val="left"/>
        <w:rPr>
          <w:sz w:val="20"/>
        </w:rPr>
      </w:pPr>
      <w:r>
        <w:rPr>
          <w:sz w:val="20"/>
        </w:rPr>
        <w:t>IANA</w:t>
      </w:r>
      <w:r>
        <w:rPr>
          <w:spacing w:val="-4"/>
          <w:sz w:val="20"/>
        </w:rPr>
        <w:t> </w:t>
      </w:r>
      <w:r>
        <w:rPr>
          <w:spacing w:val="-2"/>
          <w:sz w:val="20"/>
        </w:rPr>
        <w:t>Considerations</w:t>
      </w:r>
    </w:p>
    <w:p>
      <w:pPr>
        <w:pStyle w:val="ListParagraph"/>
        <w:numPr>
          <w:ilvl w:val="1"/>
          <w:numId w:val="2"/>
        </w:numPr>
        <w:tabs>
          <w:tab w:pos="876" w:val="left" w:leader="none"/>
        </w:tabs>
        <w:spacing w:line="240" w:lineRule="auto" w:before="213" w:after="0"/>
        <w:ind w:left="876" w:right="0" w:hanging="716"/>
        <w:jc w:val="left"/>
        <w:rPr>
          <w:sz w:val="20"/>
        </w:rPr>
      </w:pPr>
      <w:r>
        <w:rPr>
          <w:sz w:val="20"/>
        </w:rPr>
        <w:t>Object</w:t>
      </w:r>
      <w:r>
        <w:rPr>
          <w:spacing w:val="-6"/>
          <w:sz w:val="20"/>
        </w:rPr>
        <w:t> </w:t>
      </w:r>
      <w:r>
        <w:rPr>
          <w:spacing w:val="-2"/>
          <w:sz w:val="20"/>
        </w:rPr>
        <w:t>Identifier</w:t>
      </w:r>
    </w:p>
    <w:p>
      <w:pPr>
        <w:pStyle w:val="BodyText"/>
        <w:spacing w:line="232" w:lineRule="auto" w:before="219"/>
        <w:ind w:right="199"/>
      </w:pPr>
      <w:r>
        <w:rPr/>
        <w:t>The</w:t>
      </w:r>
      <w:r>
        <w:rPr>
          <w:spacing w:val="-5"/>
        </w:rPr>
        <w:t> </w:t>
      </w:r>
      <w:r>
        <w:rPr/>
        <w:t>IANA</w:t>
      </w:r>
      <w:r>
        <w:rPr>
          <w:spacing w:val="-5"/>
        </w:rPr>
        <w:t> </w:t>
      </w:r>
      <w:r>
        <w:rPr/>
        <w:t>has</w:t>
      </w:r>
      <w:r>
        <w:rPr>
          <w:spacing w:val="-5"/>
        </w:rPr>
        <w:t> </w:t>
      </w:r>
      <w:r>
        <w:rPr/>
        <w:t>assigned</w:t>
      </w:r>
      <w:r>
        <w:rPr>
          <w:spacing w:val="-5"/>
        </w:rPr>
        <w:t> </w:t>
      </w:r>
      <w:r>
        <w:rPr/>
        <w:t>an</w:t>
      </w:r>
      <w:r>
        <w:rPr>
          <w:spacing w:val="-5"/>
        </w:rPr>
        <w:t> </w:t>
      </w:r>
      <w:r>
        <w:rPr/>
        <w:t>LDAP</w:t>
      </w:r>
      <w:r>
        <w:rPr>
          <w:spacing w:val="-5"/>
        </w:rPr>
        <w:t> </w:t>
      </w:r>
      <w:r>
        <w:rPr/>
        <w:t>Object</w:t>
      </w:r>
      <w:r>
        <w:rPr>
          <w:spacing w:val="-5"/>
        </w:rPr>
        <w:t> </w:t>
      </w:r>
      <w:r>
        <w:rPr/>
        <w:t>Identifier</w:t>
      </w:r>
      <w:r>
        <w:rPr>
          <w:spacing w:val="-5"/>
        </w:rPr>
        <w:t> </w:t>
      </w:r>
      <w:r>
        <w:rPr/>
        <w:t>[RFC4520]</w:t>
      </w:r>
      <w:r>
        <w:rPr>
          <w:spacing w:val="-5"/>
        </w:rPr>
        <w:t> </w:t>
      </w:r>
      <w:r>
        <w:rPr/>
        <w:t>to</w:t>
      </w:r>
      <w:r>
        <w:rPr>
          <w:spacing w:val="-5"/>
        </w:rPr>
        <w:t> </w:t>
      </w:r>
      <w:r>
        <w:rPr/>
        <w:t>identify the LDAP Assertion Control defined in this document.</w:t>
      </w:r>
    </w:p>
    <w:p>
      <w:pPr>
        <w:pStyle w:val="BodyText"/>
        <w:spacing w:line="232" w:lineRule="auto" w:before="220"/>
        <w:ind w:left="1000" w:right="862"/>
      </w:pPr>
      <w:r>
        <w:rPr/>
        <w:t>Subject: Request for LDAP Object Identifier Registration 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w:t>
      </w:r>
    </w:p>
    <w:p>
      <w:pPr>
        <w:pStyle w:val="BodyText"/>
        <w:spacing w:line="232" w:lineRule="auto"/>
        <w:ind w:left="1000" w:right="2180" w:firstLine="480"/>
      </w:pPr>
      <w:r>
        <w:rPr/>
        <w:t>Kurt</w:t>
      </w:r>
      <w:r>
        <w:rPr>
          <w:spacing w:val="-20"/>
        </w:rPr>
        <w:t> </w:t>
      </w:r>
      <w:r>
        <w:rPr/>
        <w:t>Zeilenga</w:t>
      </w:r>
      <w:r>
        <w:rPr>
          <w:spacing w:val="-20"/>
        </w:rPr>
        <w:t> </w:t>
      </w:r>
      <w:r>
        <w:rPr/>
        <w:t>&lt;</w:t>
      </w:r>
      <w:hyperlink r:id="rId8">
        <w:r>
          <w:rPr/>
          <w:t>kurt@OpenLDAP.org</w:t>
        </w:r>
      </w:hyperlink>
      <w:r>
        <w:rPr/>
        <w:t>&gt; Specification: RFC 4528</w:t>
      </w:r>
    </w:p>
    <w:p>
      <w:pPr>
        <w:pStyle w:val="BodyText"/>
        <w:spacing w:line="232" w:lineRule="auto" w:before="1"/>
        <w:ind w:left="1000" w:right="3699"/>
      </w:pPr>
      <w:r>
        <w:rPr/>
        <w:t>Author/Change</w:t>
      </w:r>
      <w:r>
        <w:rPr>
          <w:spacing w:val="-20"/>
        </w:rPr>
        <w:t> </w:t>
      </w:r>
      <w:r>
        <w:rPr/>
        <w:t>Controller:</w:t>
      </w:r>
      <w:r>
        <w:rPr>
          <w:spacing w:val="-20"/>
        </w:rPr>
        <w:t> </w:t>
      </w:r>
      <w:r>
        <w:rPr/>
        <w:t>IESG </w:t>
      </w:r>
      <w:r>
        <w:rPr>
          <w:spacing w:val="-2"/>
        </w:rPr>
        <w:t>Comments:</w:t>
      </w:r>
    </w:p>
    <w:p>
      <w:pPr>
        <w:pStyle w:val="BodyText"/>
        <w:spacing w:line="222" w:lineRule="exact"/>
        <w:ind w:left="1480"/>
      </w:pPr>
      <w:r>
        <w:rPr/>
        <w:t>Identifies</w:t>
      </w:r>
      <w:r>
        <w:rPr>
          <w:spacing w:val="-7"/>
        </w:rPr>
        <w:t> </w:t>
      </w:r>
      <w:r>
        <w:rPr/>
        <w:t>the</w:t>
      </w:r>
      <w:r>
        <w:rPr>
          <w:spacing w:val="-6"/>
        </w:rPr>
        <w:t> </w:t>
      </w:r>
      <w:r>
        <w:rPr/>
        <w:t>LDAP</w:t>
      </w:r>
      <w:r>
        <w:rPr>
          <w:spacing w:val="-7"/>
        </w:rPr>
        <w:t> </w:t>
      </w:r>
      <w:r>
        <w:rPr/>
        <w:t>Assertion</w:t>
      </w:r>
      <w:r>
        <w:rPr>
          <w:spacing w:val="-6"/>
        </w:rPr>
        <w:t> </w:t>
      </w:r>
      <w:r>
        <w:rPr>
          <w:spacing w:val="-2"/>
        </w:rPr>
        <w:t>Control</w:t>
      </w:r>
    </w:p>
    <w:p>
      <w:pPr>
        <w:pStyle w:val="ListParagraph"/>
        <w:numPr>
          <w:ilvl w:val="1"/>
          <w:numId w:val="2"/>
        </w:numPr>
        <w:tabs>
          <w:tab w:pos="876" w:val="left" w:leader="none"/>
        </w:tabs>
        <w:spacing w:line="240" w:lineRule="auto" w:before="213" w:after="0"/>
        <w:ind w:left="876" w:right="0" w:hanging="716"/>
        <w:jc w:val="left"/>
        <w:rPr>
          <w:sz w:val="20"/>
        </w:rPr>
      </w:pPr>
      <w:r>
        <w:rPr>
          <w:sz w:val="20"/>
        </w:rPr>
        <w:t>LDAP</w:t>
      </w:r>
      <w:r>
        <w:rPr>
          <w:spacing w:val="-6"/>
          <w:sz w:val="20"/>
        </w:rPr>
        <w:t> </w:t>
      </w:r>
      <w:r>
        <w:rPr>
          <w:sz w:val="20"/>
        </w:rPr>
        <w:t>Protocol</w:t>
      </w:r>
      <w:r>
        <w:rPr>
          <w:spacing w:val="-6"/>
          <w:sz w:val="20"/>
        </w:rPr>
        <w:t> </w:t>
      </w:r>
      <w:r>
        <w:rPr>
          <w:spacing w:val="-2"/>
          <w:sz w:val="20"/>
        </w:rPr>
        <w:t>Mechanism</w:t>
      </w:r>
    </w:p>
    <w:p>
      <w:pPr>
        <w:pStyle w:val="BodyText"/>
        <w:spacing w:before="214"/>
      </w:pPr>
      <w:r>
        <w:rPr/>
        <w:t>Registration</w:t>
      </w:r>
      <w:r>
        <w:rPr>
          <w:spacing w:val="-7"/>
        </w:rPr>
        <w:t> </w:t>
      </w:r>
      <w:r>
        <w:rPr/>
        <w:t>of</w:t>
      </w:r>
      <w:r>
        <w:rPr>
          <w:spacing w:val="-7"/>
        </w:rPr>
        <w:t> </w:t>
      </w:r>
      <w:r>
        <w:rPr/>
        <w:t>this</w:t>
      </w:r>
      <w:r>
        <w:rPr>
          <w:spacing w:val="-6"/>
        </w:rPr>
        <w:t> </w:t>
      </w:r>
      <w:r>
        <w:rPr/>
        <w:t>protocol</w:t>
      </w:r>
      <w:r>
        <w:rPr>
          <w:spacing w:val="-7"/>
        </w:rPr>
        <w:t> </w:t>
      </w:r>
      <w:r>
        <w:rPr/>
        <w:t>mechanism</w:t>
      </w:r>
      <w:r>
        <w:rPr>
          <w:spacing w:val="-6"/>
        </w:rPr>
        <w:t> </w:t>
      </w:r>
      <w:r>
        <w:rPr/>
        <w:t>[RFC4520]</w:t>
      </w:r>
      <w:r>
        <w:rPr>
          <w:spacing w:val="-7"/>
        </w:rPr>
        <w:t> </w:t>
      </w:r>
      <w:r>
        <w:rPr/>
        <w:t>is</w:t>
      </w:r>
      <w:r>
        <w:rPr>
          <w:spacing w:val="-6"/>
        </w:rPr>
        <w:t> </w:t>
      </w:r>
      <w:r>
        <w:rPr>
          <w:spacing w:val="-2"/>
        </w:rPr>
        <w:t>requested.</w:t>
      </w:r>
    </w:p>
    <w:p>
      <w:pPr>
        <w:pStyle w:val="BodyText"/>
        <w:spacing w:line="232" w:lineRule="auto" w:before="218"/>
        <w:ind w:left="1000" w:right="862"/>
      </w:pPr>
      <w:r>
        <w:rPr/>
        <w:t>Subject:</w:t>
      </w:r>
      <w:r>
        <w:rPr>
          <w:spacing w:val="-7"/>
        </w:rPr>
        <w:t> </w:t>
      </w:r>
      <w:r>
        <w:rPr/>
        <w:t>Request</w:t>
      </w:r>
      <w:r>
        <w:rPr>
          <w:spacing w:val="-7"/>
        </w:rPr>
        <w:t> </w:t>
      </w:r>
      <w:r>
        <w:rPr/>
        <w:t>for</w:t>
      </w:r>
      <w:r>
        <w:rPr>
          <w:spacing w:val="-7"/>
        </w:rPr>
        <w:t> </w:t>
      </w:r>
      <w:r>
        <w:rPr/>
        <w:t>LDAP</w:t>
      </w:r>
      <w:r>
        <w:rPr>
          <w:spacing w:val="-7"/>
        </w:rPr>
        <w:t> </w:t>
      </w:r>
      <w:r>
        <w:rPr/>
        <w:t>Protocol</w:t>
      </w:r>
      <w:r>
        <w:rPr>
          <w:spacing w:val="-7"/>
        </w:rPr>
        <w:t> </w:t>
      </w:r>
      <w:r>
        <w:rPr/>
        <w:t>Mechanism</w:t>
      </w:r>
      <w:r>
        <w:rPr>
          <w:spacing w:val="-7"/>
        </w:rPr>
        <w:t> </w:t>
      </w:r>
      <w:r>
        <w:rPr/>
        <w:t>Registration Object Identifier: 1.3.6.1.1.12</w:t>
      </w:r>
    </w:p>
    <w:p>
      <w:pPr>
        <w:pStyle w:val="BodyText"/>
        <w:spacing w:line="219" w:lineRule="exact"/>
        <w:ind w:left="1000"/>
      </w:pPr>
      <w:r>
        <w:rPr/>
        <w:t>Description:</w:t>
      </w:r>
      <w:r>
        <w:rPr>
          <w:spacing w:val="-11"/>
        </w:rPr>
        <w:t> </w:t>
      </w:r>
      <w:r>
        <w:rPr/>
        <w:t>Assertion</w:t>
      </w:r>
      <w:r>
        <w:rPr>
          <w:spacing w:val="-10"/>
        </w:rPr>
        <w:t> </w:t>
      </w:r>
      <w:r>
        <w:rPr>
          <w:spacing w:val="-2"/>
        </w:rPr>
        <w:t>Control</w:t>
      </w:r>
    </w:p>
    <w:p>
      <w:pPr>
        <w:pStyle w:val="BodyText"/>
        <w:spacing w:line="232" w:lineRule="auto" w:before="2"/>
        <w:ind w:left="1480" w:right="862" w:hanging="48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9">
        <w:r>
          <w:rPr/>
          <w:t>kurt@openldap.org</w:t>
        </w:r>
      </w:hyperlink>
      <w:r>
        <w:rPr/>
        <w:t>&gt;</w:t>
      </w:r>
    </w:p>
    <w:p>
      <w:pPr>
        <w:pStyle w:val="BodyText"/>
        <w:spacing w:line="232" w:lineRule="auto"/>
        <w:ind w:left="1000" w:right="4659"/>
      </w:pPr>
      <w:r>
        <w:rPr/>
        <w:t>Usage: Control Specification:</w:t>
      </w:r>
      <w:r>
        <w:rPr>
          <w:spacing w:val="-20"/>
        </w:rPr>
        <w:t> </w:t>
      </w:r>
      <w:r>
        <w:rPr/>
        <w:t>RFC</w:t>
      </w:r>
      <w:r>
        <w:rPr>
          <w:spacing w:val="-20"/>
        </w:rPr>
        <w:t> </w:t>
      </w:r>
      <w:r>
        <w:rPr/>
        <w:t>4528</w:t>
      </w:r>
    </w:p>
    <w:p>
      <w:pPr>
        <w:pStyle w:val="BodyText"/>
        <w:spacing w:line="232" w:lineRule="auto" w:before="1"/>
        <w:ind w:left="1000" w:right="3699"/>
      </w:pPr>
      <w:r>
        <w:rPr/>
        <w:t>Author/Change</w:t>
      </w:r>
      <w:r>
        <w:rPr>
          <w:spacing w:val="-20"/>
        </w:rPr>
        <w:t> </w:t>
      </w:r>
      <w:r>
        <w:rPr/>
        <w:t>Controller:</w:t>
      </w:r>
      <w:r>
        <w:rPr>
          <w:spacing w:val="-20"/>
        </w:rPr>
        <w:t> </w:t>
      </w:r>
      <w:r>
        <w:rPr/>
        <w:t>IESG Comments: none</w:t>
      </w:r>
    </w:p>
    <w:p>
      <w:pPr>
        <w:pStyle w:val="ListParagraph"/>
        <w:numPr>
          <w:ilvl w:val="1"/>
          <w:numId w:val="2"/>
        </w:numPr>
        <w:tabs>
          <w:tab w:pos="876" w:val="left" w:leader="none"/>
        </w:tabs>
        <w:spacing w:line="240" w:lineRule="auto" w:before="215" w:after="0"/>
        <w:ind w:left="876" w:right="0" w:hanging="716"/>
        <w:jc w:val="left"/>
        <w:rPr>
          <w:sz w:val="20"/>
        </w:rPr>
      </w:pPr>
      <w:r>
        <w:rPr>
          <w:sz w:val="20"/>
        </w:rPr>
        <w:t>LDAP</w:t>
      </w:r>
      <w:r>
        <w:rPr>
          <w:spacing w:val="-5"/>
          <w:sz w:val="20"/>
        </w:rPr>
        <w:t> </w:t>
      </w:r>
      <w:r>
        <w:rPr>
          <w:sz w:val="20"/>
        </w:rPr>
        <w:t>Result</w:t>
      </w:r>
      <w:r>
        <w:rPr>
          <w:spacing w:val="-5"/>
          <w:sz w:val="20"/>
        </w:rPr>
        <w:t> </w:t>
      </w:r>
      <w:r>
        <w:rPr>
          <w:spacing w:val="-4"/>
          <w:sz w:val="20"/>
        </w:rPr>
        <w:t>Code</w:t>
      </w:r>
    </w:p>
    <w:p>
      <w:pPr>
        <w:pStyle w:val="BodyText"/>
        <w:spacing w:line="232" w:lineRule="auto" w:before="219"/>
      </w:pPr>
      <w:r>
        <w:rPr/>
        <w:t>The</w:t>
      </w:r>
      <w:r>
        <w:rPr>
          <w:spacing w:val="-5"/>
        </w:rPr>
        <w:t> </w:t>
      </w:r>
      <w:r>
        <w:rPr/>
        <w:t>IANA</w:t>
      </w:r>
      <w:r>
        <w:rPr>
          <w:spacing w:val="-5"/>
        </w:rPr>
        <w:t> </w:t>
      </w:r>
      <w:r>
        <w:rPr/>
        <w:t>has</w:t>
      </w:r>
      <w:r>
        <w:rPr>
          <w:spacing w:val="-5"/>
        </w:rPr>
        <w:t> </w:t>
      </w:r>
      <w:r>
        <w:rPr/>
        <w:t>assigned</w:t>
      </w:r>
      <w:r>
        <w:rPr>
          <w:spacing w:val="-5"/>
        </w:rPr>
        <w:t> </w:t>
      </w:r>
      <w:r>
        <w:rPr/>
        <w:t>an</w:t>
      </w:r>
      <w:r>
        <w:rPr>
          <w:spacing w:val="-5"/>
        </w:rPr>
        <w:t> </w:t>
      </w:r>
      <w:r>
        <w:rPr/>
        <w:t>LDAP</w:t>
      </w:r>
      <w:r>
        <w:rPr>
          <w:spacing w:val="-5"/>
        </w:rPr>
        <w:t> </w:t>
      </w:r>
      <w:r>
        <w:rPr/>
        <w:t>Result</w:t>
      </w:r>
      <w:r>
        <w:rPr>
          <w:spacing w:val="-5"/>
        </w:rPr>
        <w:t> </w:t>
      </w:r>
      <w:r>
        <w:rPr/>
        <w:t>Code</w:t>
      </w:r>
      <w:r>
        <w:rPr>
          <w:spacing w:val="-5"/>
        </w:rPr>
        <w:t> </w:t>
      </w:r>
      <w:r>
        <w:rPr/>
        <w:t>[RFC4520]</w:t>
      </w:r>
      <w:r>
        <w:rPr>
          <w:spacing w:val="-5"/>
        </w:rPr>
        <w:t> </w:t>
      </w:r>
      <w:r>
        <w:rPr/>
        <w:t>called ’assertionFailed’ (122).</w:t>
      </w:r>
    </w:p>
    <w:p>
      <w:pPr>
        <w:pStyle w:val="BodyText"/>
        <w:spacing w:line="223" w:lineRule="exact" w:before="215"/>
        <w:ind w:left="1000"/>
      </w:pPr>
      <w:r>
        <w:rPr/>
        <w:t>Subject:</w:t>
      </w:r>
      <w:r>
        <w:rPr>
          <w:spacing w:val="-6"/>
        </w:rPr>
        <w:t> </w:t>
      </w:r>
      <w:r>
        <w:rPr/>
        <w:t>LDAP</w:t>
      </w:r>
      <w:r>
        <w:rPr>
          <w:spacing w:val="-5"/>
        </w:rPr>
        <w:t> </w:t>
      </w:r>
      <w:r>
        <w:rPr/>
        <w:t>Result</w:t>
      </w:r>
      <w:r>
        <w:rPr>
          <w:spacing w:val="-6"/>
        </w:rPr>
        <w:t> </w:t>
      </w:r>
      <w:r>
        <w:rPr/>
        <w:t>Code</w:t>
      </w:r>
      <w:r>
        <w:rPr>
          <w:spacing w:val="-5"/>
        </w:rPr>
        <w:t> </w:t>
      </w:r>
      <w:r>
        <w:rPr>
          <w:spacing w:val="-2"/>
        </w:rPr>
        <w:t>Registration</w:t>
      </w:r>
    </w:p>
    <w:p>
      <w:pPr>
        <w:pStyle w:val="BodyText"/>
        <w:spacing w:line="232" w:lineRule="auto" w:before="2"/>
        <w:ind w:left="1480" w:right="862" w:hanging="48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8">
        <w:r>
          <w:rPr/>
          <w:t>kurt@OpenLDAP.org</w:t>
        </w:r>
      </w:hyperlink>
      <w:r>
        <w:rPr/>
        <w:t>&gt;</w:t>
      </w:r>
    </w:p>
    <w:p>
      <w:pPr>
        <w:pStyle w:val="BodyText"/>
        <w:spacing w:line="232" w:lineRule="auto"/>
        <w:ind w:left="1000" w:right="3699"/>
      </w:pPr>
      <w:r>
        <w:rPr/>
        <w:t>Result</w:t>
      </w:r>
      <w:r>
        <w:rPr>
          <w:spacing w:val="-14"/>
        </w:rPr>
        <w:t> </w:t>
      </w:r>
      <w:r>
        <w:rPr/>
        <w:t>Code</w:t>
      </w:r>
      <w:r>
        <w:rPr>
          <w:spacing w:val="-14"/>
        </w:rPr>
        <w:t> </w:t>
      </w:r>
      <w:r>
        <w:rPr/>
        <w:t>Name:</w:t>
      </w:r>
      <w:r>
        <w:rPr>
          <w:spacing w:val="-14"/>
        </w:rPr>
        <w:t> </w:t>
      </w:r>
      <w:r>
        <w:rPr/>
        <w:t>assertionFailed Specification: RFC 4528 Author/Change Controller: IESG Comments:</w:t>
      </w:r>
      <w:r>
        <w:rPr>
          <w:spacing w:val="40"/>
        </w:rPr>
        <w:t> </w:t>
      </w:r>
      <w:r>
        <w:rPr/>
        <w:t>none</w:t>
      </w:r>
    </w:p>
    <w:p>
      <w:pPr>
        <w:pStyle w:val="BodyText"/>
        <w:spacing w:after="0" w:line="232" w:lineRule="auto"/>
        <w:sectPr>
          <w:pgSz w:w="12240" w:h="15840"/>
          <w:pgMar w:header="793" w:footer="2967" w:top="1360" w:bottom="3160" w:left="1440" w:right="1800"/>
        </w:sectPr>
      </w:pPr>
    </w:p>
    <w:p>
      <w:pPr>
        <w:pStyle w:val="ListParagraph"/>
        <w:numPr>
          <w:ilvl w:val="0"/>
          <w:numId w:val="2"/>
        </w:numPr>
        <w:tabs>
          <w:tab w:pos="638" w:val="left" w:leader="none"/>
        </w:tabs>
        <w:spacing w:line="240" w:lineRule="auto" w:before="90" w:after="0"/>
        <w:ind w:left="638" w:right="0" w:hanging="478"/>
        <w:jc w:val="left"/>
        <w:rPr>
          <w:sz w:val="20"/>
        </w:rPr>
      </w:pPr>
      <w:r>
        <w:rPr>
          <w:spacing w:val="-2"/>
          <w:sz w:val="20"/>
        </w:rPr>
        <w:t>Acknowledgements</w:t>
      </w:r>
    </w:p>
    <w:p>
      <w:pPr>
        <w:pStyle w:val="BodyText"/>
        <w:spacing w:before="213"/>
      </w:pPr>
      <w:r>
        <w:rPr/>
        <w:t>The</w:t>
      </w:r>
      <w:r>
        <w:rPr>
          <w:spacing w:val="-8"/>
        </w:rPr>
        <w:t> </w:t>
      </w:r>
      <w:r>
        <w:rPr/>
        <w:t>assertion</w:t>
      </w:r>
      <w:r>
        <w:rPr>
          <w:spacing w:val="-6"/>
        </w:rPr>
        <w:t> </w:t>
      </w:r>
      <w:r>
        <w:rPr/>
        <w:t>control</w:t>
      </w:r>
      <w:r>
        <w:rPr>
          <w:spacing w:val="-6"/>
        </w:rPr>
        <w:t> </w:t>
      </w:r>
      <w:r>
        <w:rPr/>
        <w:t>concept</w:t>
      </w:r>
      <w:r>
        <w:rPr>
          <w:spacing w:val="-6"/>
        </w:rPr>
        <w:t> </w:t>
      </w:r>
      <w:r>
        <w:rPr/>
        <w:t>is</w:t>
      </w:r>
      <w:r>
        <w:rPr>
          <w:spacing w:val="-6"/>
        </w:rPr>
        <w:t> </w:t>
      </w:r>
      <w:r>
        <w:rPr/>
        <w:t>attributed</w:t>
      </w:r>
      <w:r>
        <w:rPr>
          <w:spacing w:val="-6"/>
        </w:rPr>
        <w:t> </w:t>
      </w:r>
      <w:r>
        <w:rPr/>
        <w:t>to</w:t>
      </w:r>
      <w:r>
        <w:rPr>
          <w:spacing w:val="-6"/>
        </w:rPr>
        <w:t> </w:t>
      </w:r>
      <w:r>
        <w:rPr/>
        <w:t>Morteza</w:t>
      </w:r>
      <w:r>
        <w:rPr>
          <w:spacing w:val="-5"/>
        </w:rPr>
        <w:t> </w:t>
      </w:r>
      <w:r>
        <w:rPr>
          <w:spacing w:val="-2"/>
        </w:rPr>
        <w:t>Ansari.</w:t>
      </w:r>
    </w:p>
    <w:p>
      <w:pPr>
        <w:pStyle w:val="ListParagraph"/>
        <w:numPr>
          <w:ilvl w:val="0"/>
          <w:numId w:val="2"/>
        </w:numPr>
        <w:tabs>
          <w:tab w:pos="638" w:val="left" w:leader="none"/>
        </w:tabs>
        <w:spacing w:line="240" w:lineRule="auto" w:before="214" w:after="0"/>
        <w:ind w:left="638" w:right="0" w:hanging="478"/>
        <w:jc w:val="left"/>
        <w:rPr>
          <w:sz w:val="20"/>
        </w:rPr>
      </w:pPr>
      <w:r>
        <w:rPr>
          <w:spacing w:val="-2"/>
          <w:sz w:val="20"/>
        </w:rPr>
        <w:t>References</w:t>
      </w:r>
    </w:p>
    <w:p>
      <w:pPr>
        <w:pStyle w:val="ListParagraph"/>
        <w:numPr>
          <w:ilvl w:val="1"/>
          <w:numId w:val="2"/>
        </w:numPr>
        <w:tabs>
          <w:tab w:pos="876" w:val="left" w:leader="none"/>
        </w:tabs>
        <w:spacing w:line="240" w:lineRule="auto" w:before="213" w:after="0"/>
        <w:ind w:left="876" w:right="0" w:hanging="716"/>
        <w:jc w:val="left"/>
        <w:rPr>
          <w:sz w:val="20"/>
        </w:rPr>
      </w:pPr>
      <w:r>
        <w:rPr>
          <w:sz w:val="20"/>
        </w:rPr>
        <w:t>Normative</w:t>
      </w:r>
      <w:r>
        <w:rPr>
          <w:spacing w:val="-9"/>
          <w:sz w:val="20"/>
        </w:rPr>
        <w:t> </w:t>
      </w:r>
      <w:r>
        <w:rPr>
          <w:spacing w:val="-2"/>
          <w:sz w:val="20"/>
        </w:rPr>
        <w:t>References</w:t>
      </w:r>
    </w:p>
    <w:p>
      <w:pPr>
        <w:pStyle w:val="BodyText"/>
        <w:tabs>
          <w:tab w:pos="2199" w:val="left" w:leader="none"/>
        </w:tabs>
        <w:spacing w:line="232" w:lineRule="auto" w:before="218"/>
        <w:ind w:left="2200" w:right="679" w:hanging="1680"/>
      </w:pPr>
      <w:r>
        <w:rPr>
          <w:spacing w:val="-2"/>
        </w:rPr>
        <w:t>[RFC2119]</w:t>
      </w:r>
      <w:r>
        <w:rPr/>
        <w:tab/>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2199" w:val="left" w:leader="none"/>
        </w:tabs>
        <w:spacing w:line="232" w:lineRule="auto" w:before="221"/>
        <w:ind w:left="2200" w:right="199" w:hanging="1680"/>
      </w:pPr>
      <w:r>
        <w:rPr>
          <w:spacing w:val="-2"/>
        </w:rPr>
        <w:t>[RFC4510]</w:t>
      </w:r>
      <w:r>
        <w:rPr/>
        <w:tab/>
        <w:t>Zeilenga, K., Ed., "Lightweight Directory Access Protocol</w:t>
      </w:r>
      <w:r>
        <w:rPr>
          <w:spacing w:val="-7"/>
        </w:rPr>
        <w:t> </w:t>
      </w:r>
      <w:r>
        <w:rPr/>
        <w:t>(LDAP):</w:t>
      </w:r>
      <w:r>
        <w:rPr>
          <w:spacing w:val="-7"/>
        </w:rPr>
        <w:t> </w:t>
      </w:r>
      <w:r>
        <w:rPr/>
        <w:t>Technical</w:t>
      </w:r>
      <w:r>
        <w:rPr>
          <w:spacing w:val="-7"/>
        </w:rPr>
        <w:t> </w:t>
      </w:r>
      <w:r>
        <w:rPr/>
        <w:t>Specification</w:t>
      </w:r>
      <w:r>
        <w:rPr>
          <w:spacing w:val="-7"/>
        </w:rPr>
        <w:t> </w:t>
      </w:r>
      <w:r>
        <w:rPr/>
        <w:t>Road</w:t>
      </w:r>
      <w:r>
        <w:rPr>
          <w:spacing w:val="-7"/>
        </w:rPr>
        <w:t> </w:t>
      </w:r>
      <w:r>
        <w:rPr/>
        <w:t>Map",</w:t>
      </w:r>
      <w:r>
        <w:rPr>
          <w:spacing w:val="-7"/>
        </w:rPr>
        <w:t> </w:t>
      </w:r>
      <w:r>
        <w:rPr/>
        <w:t>RFC 4510, June 2006.</w:t>
      </w:r>
    </w:p>
    <w:p>
      <w:pPr>
        <w:pStyle w:val="BodyText"/>
        <w:tabs>
          <w:tab w:pos="2199" w:val="left" w:leader="none"/>
        </w:tabs>
        <w:spacing w:line="232" w:lineRule="auto" w:before="221"/>
        <w:ind w:left="2200" w:right="559" w:hanging="1680"/>
      </w:pPr>
      <w:r>
        <w:rPr>
          <w:spacing w:val="-2"/>
        </w:rPr>
        <w:t>[RFC4511]</w:t>
      </w:r>
      <w:r>
        <w:rPr/>
        <w:tab/>
        <w:t>Sermersheim, J., Ed., "Lightweight Directory Access Protocol</w:t>
      </w:r>
      <w:r>
        <w:rPr>
          <w:spacing w:val="-8"/>
        </w:rPr>
        <w:t> </w:t>
      </w:r>
      <w:r>
        <w:rPr/>
        <w:t>(LDAP):</w:t>
      </w:r>
      <w:r>
        <w:rPr>
          <w:spacing w:val="-6"/>
        </w:rPr>
        <w:t> </w:t>
      </w:r>
      <w:r>
        <w:rPr/>
        <w:t>The</w:t>
      </w:r>
      <w:r>
        <w:rPr>
          <w:spacing w:val="-6"/>
        </w:rPr>
        <w:t> </w:t>
      </w:r>
      <w:r>
        <w:rPr/>
        <w:t>Protocol",</w:t>
      </w:r>
      <w:r>
        <w:rPr>
          <w:spacing w:val="-5"/>
        </w:rPr>
        <w:t> </w:t>
      </w:r>
      <w:r>
        <w:rPr/>
        <w:t>RFC</w:t>
      </w:r>
      <w:r>
        <w:rPr>
          <w:spacing w:val="-6"/>
        </w:rPr>
        <w:t> </w:t>
      </w:r>
      <w:r>
        <w:rPr/>
        <w:t>4511,</w:t>
      </w:r>
      <w:r>
        <w:rPr>
          <w:spacing w:val="-6"/>
        </w:rPr>
        <w:t> </w:t>
      </w:r>
      <w:r>
        <w:rPr/>
        <w:t>June</w:t>
      </w:r>
      <w:r>
        <w:rPr>
          <w:spacing w:val="-5"/>
        </w:rPr>
        <w:t> </w:t>
      </w:r>
      <w:r>
        <w:rPr>
          <w:spacing w:val="-2"/>
        </w:rPr>
        <w:t>2006.</w:t>
      </w:r>
    </w:p>
    <w:p>
      <w:pPr>
        <w:pStyle w:val="BodyText"/>
        <w:tabs>
          <w:tab w:pos="2199" w:val="left" w:leader="none"/>
        </w:tabs>
        <w:spacing w:line="232" w:lineRule="auto" w:before="220"/>
        <w:ind w:left="2200" w:right="439" w:hanging="1680"/>
      </w:pPr>
      <w:r>
        <w:rPr>
          <w:spacing w:val="-2"/>
        </w:rPr>
        <w:t>[RFC4512]</w:t>
      </w:r>
      <w:r>
        <w:rPr/>
        <w:tab/>
        <w:t>Zeilenga, K., "Lightweight Directory Access Protocol (LDAP):</w:t>
      </w:r>
      <w:r>
        <w:rPr>
          <w:spacing w:val="-7"/>
        </w:rPr>
        <w:t> </w:t>
      </w:r>
      <w:r>
        <w:rPr/>
        <w:t>Directory</w:t>
      </w:r>
      <w:r>
        <w:rPr>
          <w:spacing w:val="-7"/>
        </w:rPr>
        <w:t> </w:t>
      </w:r>
      <w:r>
        <w:rPr/>
        <w:t>Information</w:t>
      </w:r>
      <w:r>
        <w:rPr>
          <w:spacing w:val="-7"/>
        </w:rPr>
        <w:t> </w:t>
      </w:r>
      <w:r>
        <w:rPr/>
        <w:t>Models",</w:t>
      </w:r>
      <w:r>
        <w:rPr>
          <w:spacing w:val="-7"/>
        </w:rPr>
        <w:t> </w:t>
      </w:r>
      <w:r>
        <w:rPr/>
        <w:t>RFC</w:t>
      </w:r>
      <w:r>
        <w:rPr>
          <w:spacing w:val="-7"/>
        </w:rPr>
        <w:t> </w:t>
      </w:r>
      <w:r>
        <w:rPr/>
        <w:t>4512,</w:t>
      </w:r>
      <w:r>
        <w:rPr>
          <w:spacing w:val="-7"/>
        </w:rPr>
        <w:t> </w:t>
      </w:r>
      <w:r>
        <w:rPr/>
        <w:t>June </w:t>
      </w:r>
      <w:r>
        <w:rPr>
          <w:spacing w:val="-2"/>
        </w:rPr>
        <w:t>2006.</w:t>
      </w:r>
    </w:p>
    <w:p>
      <w:pPr>
        <w:pStyle w:val="BodyText"/>
        <w:tabs>
          <w:tab w:pos="2199" w:val="left" w:leader="none"/>
        </w:tabs>
        <w:spacing w:line="232" w:lineRule="auto" w:before="221"/>
        <w:ind w:left="2200" w:right="559" w:hanging="1680"/>
      </w:pPr>
      <w:r>
        <w:rPr>
          <w:spacing w:val="-2"/>
        </w:rPr>
        <w:t>[X.680]</w:t>
      </w:r>
      <w:r>
        <w:rPr/>
        <w:tab/>
        <w:t>International Telecommunication Union - Telecommunication Standardization Sector, "Abstract Syntax</w:t>
      </w:r>
      <w:r>
        <w:rPr>
          <w:spacing w:val="-6"/>
        </w:rPr>
        <w:t> </w:t>
      </w:r>
      <w:r>
        <w:rPr/>
        <w:t>Notation</w:t>
      </w:r>
      <w:r>
        <w:rPr>
          <w:spacing w:val="-6"/>
        </w:rPr>
        <w:t> </w:t>
      </w:r>
      <w:r>
        <w:rPr/>
        <w:t>One</w:t>
      </w:r>
      <w:r>
        <w:rPr>
          <w:spacing w:val="-6"/>
        </w:rPr>
        <w:t> </w:t>
      </w:r>
      <w:r>
        <w:rPr/>
        <w:t>(ASN.1)</w:t>
      </w:r>
      <w:r>
        <w:rPr>
          <w:spacing w:val="-6"/>
        </w:rPr>
        <w:t> </w:t>
      </w:r>
      <w:r>
        <w:rPr/>
        <w:t>-</w:t>
      </w:r>
      <w:r>
        <w:rPr>
          <w:spacing w:val="-6"/>
        </w:rPr>
        <w:t> </w:t>
      </w:r>
      <w:r>
        <w:rPr/>
        <w:t>Specification</w:t>
      </w:r>
      <w:r>
        <w:rPr>
          <w:spacing w:val="-6"/>
        </w:rPr>
        <w:t> </w:t>
      </w:r>
      <w:r>
        <w:rPr/>
        <w:t>of</w:t>
      </w:r>
      <w:r>
        <w:rPr>
          <w:spacing w:val="-6"/>
        </w:rPr>
        <w:t> </w:t>
      </w:r>
      <w:r>
        <w:rPr/>
        <w:t>Basic Notation", X.680(2002) (also ISO/IEC 8824-1:2002).</w:t>
      </w:r>
    </w:p>
    <w:p>
      <w:pPr>
        <w:pStyle w:val="BodyText"/>
        <w:tabs>
          <w:tab w:pos="2199" w:val="left" w:leader="none"/>
        </w:tabs>
        <w:spacing w:line="232" w:lineRule="auto" w:before="221"/>
        <w:ind w:left="2200" w:right="319" w:hanging="1680"/>
      </w:pPr>
      <w:r>
        <w:rPr>
          <w:spacing w:val="-2"/>
        </w:rPr>
        <w:t>[X.690]</w:t>
      </w:r>
      <w:r>
        <w:rPr/>
        <w:tab/>
        <w:t>International Telecommunication Union - Telecommunication Standardization Sector, "Specification</w:t>
      </w:r>
      <w:r>
        <w:rPr>
          <w:spacing w:val="-7"/>
        </w:rPr>
        <w:t> </w:t>
      </w:r>
      <w:r>
        <w:rPr/>
        <w:t>of</w:t>
      </w:r>
      <w:r>
        <w:rPr>
          <w:spacing w:val="-7"/>
        </w:rPr>
        <w:t> </w:t>
      </w:r>
      <w:r>
        <w:rPr/>
        <w:t>ASN.1</w:t>
      </w:r>
      <w:r>
        <w:rPr>
          <w:spacing w:val="-7"/>
        </w:rPr>
        <w:t> </w:t>
      </w:r>
      <w:r>
        <w:rPr/>
        <w:t>encoding</w:t>
      </w:r>
      <w:r>
        <w:rPr>
          <w:spacing w:val="-7"/>
        </w:rPr>
        <w:t> </w:t>
      </w:r>
      <w:r>
        <w:rPr/>
        <w:t>rules:</w:t>
      </w:r>
      <w:r>
        <w:rPr>
          <w:spacing w:val="-7"/>
        </w:rPr>
        <w:t> </w:t>
      </w:r>
      <w:r>
        <w:rPr/>
        <w:t>Basic</w:t>
      </w:r>
      <w:r>
        <w:rPr>
          <w:spacing w:val="-7"/>
        </w:rPr>
        <w:t> </w:t>
      </w:r>
      <w:r>
        <w:rPr/>
        <w:t>Encoding Rules (BER), Canonical Encoding Rules (CER), and Distinguished</w:t>
      </w:r>
      <w:r>
        <w:rPr>
          <w:spacing w:val="-9"/>
        </w:rPr>
        <w:t> </w:t>
      </w:r>
      <w:r>
        <w:rPr/>
        <w:t>Encoding</w:t>
      </w:r>
      <w:r>
        <w:rPr>
          <w:spacing w:val="-9"/>
        </w:rPr>
        <w:t> </w:t>
      </w:r>
      <w:r>
        <w:rPr/>
        <w:t>Rules</w:t>
      </w:r>
      <w:r>
        <w:rPr>
          <w:spacing w:val="-9"/>
        </w:rPr>
        <w:t> </w:t>
      </w:r>
      <w:r>
        <w:rPr/>
        <w:t>(DER)",</w:t>
      </w:r>
      <w:r>
        <w:rPr>
          <w:spacing w:val="-9"/>
        </w:rPr>
        <w:t> </w:t>
      </w:r>
      <w:r>
        <w:rPr/>
        <w:t>X.690(2002)</w:t>
      </w:r>
      <w:r>
        <w:rPr>
          <w:spacing w:val="-9"/>
        </w:rPr>
        <w:t> </w:t>
      </w:r>
      <w:r>
        <w:rPr/>
        <w:t>(also ISO/IEC 8825-1:2002).</w:t>
      </w:r>
    </w:p>
    <w:p>
      <w:pPr>
        <w:pStyle w:val="ListParagraph"/>
        <w:numPr>
          <w:ilvl w:val="1"/>
          <w:numId w:val="2"/>
        </w:numPr>
        <w:tabs>
          <w:tab w:pos="876" w:val="left" w:leader="none"/>
        </w:tabs>
        <w:spacing w:line="240" w:lineRule="auto" w:before="216" w:after="0"/>
        <w:ind w:left="876" w:right="0" w:hanging="716"/>
        <w:jc w:val="left"/>
        <w:rPr>
          <w:sz w:val="20"/>
        </w:rPr>
      </w:pPr>
      <w:r>
        <w:rPr>
          <w:sz w:val="20"/>
        </w:rPr>
        <w:t>Informative</w:t>
      </w:r>
      <w:r>
        <w:rPr>
          <w:spacing w:val="-11"/>
          <w:sz w:val="20"/>
        </w:rPr>
        <w:t> </w:t>
      </w:r>
      <w:r>
        <w:rPr>
          <w:spacing w:val="-2"/>
          <w:sz w:val="20"/>
        </w:rPr>
        <w:t>References</w:t>
      </w:r>
    </w:p>
    <w:p>
      <w:pPr>
        <w:pStyle w:val="BodyText"/>
        <w:tabs>
          <w:tab w:pos="2199" w:val="left" w:leader="none"/>
        </w:tabs>
        <w:spacing w:line="232" w:lineRule="auto" w:before="219"/>
        <w:ind w:left="2200" w:right="439" w:hanging="1680"/>
      </w:pPr>
      <w:r>
        <w:rPr>
          <w:spacing w:val="-2"/>
        </w:rPr>
        <w:t>[RFC4520]</w:t>
      </w:r>
      <w:r>
        <w:rPr/>
        <w:tab/>
        <w:t>Zeilenga, K., "Internet Assigned Numbers Authority (IANA) Considerations for the Lightweight Directory Access</w:t>
      </w:r>
      <w:r>
        <w:rPr>
          <w:spacing w:val="-6"/>
        </w:rPr>
        <w:t> </w:t>
      </w:r>
      <w:r>
        <w:rPr/>
        <w:t>Protocol</w:t>
      </w:r>
      <w:r>
        <w:rPr>
          <w:spacing w:val="-6"/>
        </w:rPr>
        <w:t> </w:t>
      </w:r>
      <w:r>
        <w:rPr/>
        <w:t>(LDAP)",</w:t>
      </w:r>
      <w:r>
        <w:rPr>
          <w:spacing w:val="-6"/>
        </w:rPr>
        <w:t> </w:t>
      </w:r>
      <w:r>
        <w:rPr/>
        <w:t>BCP</w:t>
      </w:r>
      <w:r>
        <w:rPr>
          <w:spacing w:val="-6"/>
        </w:rPr>
        <w:t> </w:t>
      </w:r>
      <w:r>
        <w:rPr/>
        <w:t>64,</w:t>
      </w:r>
      <w:r>
        <w:rPr>
          <w:spacing w:val="-6"/>
        </w:rPr>
        <w:t> </w:t>
      </w:r>
      <w:r>
        <w:rPr/>
        <w:t>RFC</w:t>
      </w:r>
      <w:r>
        <w:rPr>
          <w:spacing w:val="-6"/>
        </w:rPr>
        <w:t> </w:t>
      </w:r>
      <w:r>
        <w:rPr/>
        <w:t>4520,</w:t>
      </w:r>
      <w:r>
        <w:rPr>
          <w:spacing w:val="-6"/>
        </w:rPr>
        <w:t> </w:t>
      </w:r>
      <w:r>
        <w:rPr/>
        <w:t>June</w:t>
      </w:r>
      <w:r>
        <w:rPr>
          <w:spacing w:val="-6"/>
        </w:rPr>
        <w:t> </w:t>
      </w:r>
      <w:r>
        <w:rPr/>
        <w:t>2006.</w:t>
      </w:r>
    </w:p>
    <w:p>
      <w:pPr>
        <w:pStyle w:val="BodyText"/>
        <w:spacing w:before="215"/>
        <w:ind w:left="160"/>
      </w:pPr>
      <w:r>
        <w:rPr/>
        <w:t>Author’s</w:t>
      </w:r>
      <w:r>
        <w:rPr>
          <w:spacing w:val="-8"/>
        </w:rPr>
        <w:t> </w:t>
      </w:r>
      <w:r>
        <w:rPr>
          <w:spacing w:val="-2"/>
        </w:rPr>
        <w:t>Address</w:t>
      </w:r>
    </w:p>
    <w:p>
      <w:pPr>
        <w:pStyle w:val="BodyText"/>
        <w:spacing w:line="232" w:lineRule="auto" w:before="219"/>
        <w:ind w:right="5619"/>
      </w:pPr>
      <w:r>
        <w:rPr/>
        <w:t>Kurt D. Zeilenga OpenLDAP</w:t>
      </w:r>
      <w:r>
        <w:rPr>
          <w:spacing w:val="-32"/>
        </w:rPr>
        <w:t> </w:t>
      </w:r>
      <w:r>
        <w:rPr/>
        <w:t>Foundation</w:t>
      </w:r>
    </w:p>
    <w:p>
      <w:pPr>
        <w:pStyle w:val="BodyText"/>
        <w:spacing w:before="215"/>
      </w:pPr>
      <w:r>
        <w:rPr/>
        <w:t>EMail:</w:t>
      </w:r>
      <w:r>
        <w:rPr>
          <w:spacing w:val="-8"/>
        </w:rPr>
        <w:t> </w:t>
      </w:r>
      <w:hyperlink r:id="rId10">
        <w:r>
          <w:rPr>
            <w:spacing w:val="-2"/>
          </w:rPr>
          <w:t>Kurt@OpenLDAP.org</w:t>
        </w:r>
      </w:hyperlink>
    </w:p>
    <w:p>
      <w:pPr>
        <w:pStyle w:val="BodyText"/>
        <w:spacing w:after="0"/>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11">
        <w:r>
          <w:rPr>
            <w:spacing w:val="-2"/>
          </w:rPr>
          <w:t>http://www.ietf.org/ipr</w:t>
        </w:r>
      </w:hyperlink>
      <w:r>
        <w:rPr>
          <w:spacing w:val="-2"/>
        </w:rPr>
        <w:t>.</w:t>
      </w:r>
    </w:p>
    <w:p>
      <w:pPr>
        <w:pStyle w:val="BodyText"/>
        <w:spacing w:line="232" w:lineRule="auto" w:before="222"/>
        <w:ind w:right="319"/>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pPr>
      <w:hyperlink r:id="rId12">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95680">
              <wp:simplePos x="0" y="0"/>
              <wp:positionH relativeFrom="page">
                <wp:posOffset>1003300</wp:posOffset>
              </wp:positionH>
              <wp:positionV relativeFrom="page">
                <wp:posOffset>8314370</wp:posOffset>
              </wp:positionV>
              <wp:extent cx="6350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50pt;height:13.35pt;mso-position-horizontal-relative:page;mso-position-vertical-relative:page;z-index:-15820800" type="#_x0000_t202" id="docshape1"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496192">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5820288"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96704">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5819776"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98752">
              <wp:simplePos x="0" y="0"/>
              <wp:positionH relativeFrom="page">
                <wp:posOffset>1003300</wp:posOffset>
              </wp:positionH>
              <wp:positionV relativeFrom="page">
                <wp:posOffset>8034970</wp:posOffset>
              </wp:positionV>
              <wp:extent cx="6350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 style="position:absolute;margin-left:79pt;margin-top:632.674805pt;width:50pt;height:13.35pt;mso-position-horizontal-relative:page;mso-position-vertical-relative:page;z-index:-15817728" type="#_x0000_t202" id="docshape7"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499264">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5817216"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99776">
              <wp:simplePos x="0" y="0"/>
              <wp:positionH relativeFrom="page">
                <wp:posOffset>5880100</wp:posOffset>
              </wp:positionH>
              <wp:positionV relativeFrom="page">
                <wp:posOffset>8034970</wp:posOffset>
              </wp:positionV>
              <wp:extent cx="6350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350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63.000031pt;margin-top:632.674805pt;width:50pt;height:13.35pt;mso-position-horizontal-relative:page;mso-position-vertical-relative:page;z-index:-15816704"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97216">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4528</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5819264" type="#_x0000_t202" id="docshape4" filled="false" stroked="false">
              <v:textbox inset="0,0,0,0">
                <w:txbxContent>
                  <w:p>
                    <w:pPr>
                      <w:pStyle w:val="BodyText"/>
                      <w:spacing w:before="20"/>
                      <w:ind w:left="20"/>
                    </w:pPr>
                    <w:r>
                      <w:rPr/>
                      <w:t>RFC</w:t>
                    </w:r>
                    <w:r>
                      <w:rPr>
                        <w:spacing w:val="-3"/>
                      </w:rPr>
                      <w:t> </w:t>
                    </w:r>
                    <w:r>
                      <w:rPr>
                        <w:spacing w:val="-4"/>
                      </w:rPr>
                      <w:t>4528</w:t>
                    </w:r>
                  </w:p>
                </w:txbxContent>
              </v:textbox>
              <w10:wrap type="none"/>
            </v:shape>
          </w:pict>
        </mc:Fallback>
      </mc:AlternateContent>
    </w:r>
    <w:r>
      <w:rPr/>
      <mc:AlternateContent>
        <mc:Choice Requires="wps">
          <w:drawing>
            <wp:anchor distT="0" distB="0" distL="0" distR="0" allowOverlap="1" layoutInCell="1" locked="0" behindDoc="1" simplePos="0" relativeHeight="487497728">
              <wp:simplePos x="0" y="0"/>
              <wp:positionH relativeFrom="page">
                <wp:posOffset>2908300</wp:posOffset>
              </wp:positionH>
              <wp:positionV relativeFrom="page">
                <wp:posOffset>491170</wp:posOffset>
              </wp:positionV>
              <wp:extent cx="17018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01800" cy="169545"/>
                      </a:xfrm>
                      <a:prstGeom prst="rect">
                        <a:avLst/>
                      </a:prstGeom>
                    </wps:spPr>
                    <wps:txbx>
                      <w:txbxContent>
                        <w:p>
                          <w:pPr>
                            <w:pStyle w:val="BodyText"/>
                            <w:spacing w:before="20"/>
                            <w:ind w:left="20"/>
                          </w:pPr>
                          <w:r>
                            <w:rPr/>
                            <w:t>LDAP</w:t>
                          </w:r>
                          <w:r>
                            <w:rPr>
                              <w:spacing w:val="-7"/>
                            </w:rPr>
                            <w:t> </w:t>
                          </w:r>
                          <w:r>
                            <w:rPr/>
                            <w:t>Assertion</w:t>
                          </w:r>
                          <w:r>
                            <w:rPr>
                              <w:spacing w:val="-6"/>
                            </w:rPr>
                            <w:t> </w:t>
                          </w:r>
                          <w:r>
                            <w:rPr>
                              <w:spacing w:val="-2"/>
                            </w:rPr>
                            <w:t>Control</w:t>
                          </w:r>
                        </w:p>
                      </w:txbxContent>
                    </wps:txbx>
                    <wps:bodyPr wrap="square" lIns="0" tIns="0" rIns="0" bIns="0" rtlCol="0">
                      <a:noAutofit/>
                    </wps:bodyPr>
                  </wps:wsp>
                </a:graphicData>
              </a:graphic>
            </wp:anchor>
          </w:drawing>
        </mc:Choice>
        <mc:Fallback>
          <w:pict>
            <v:shape style="position:absolute;margin-left:229pt;margin-top:38.674805pt;width:134pt;height:13.35pt;mso-position-horizontal-relative:page;mso-position-vertical-relative:page;z-index:-15818752" type="#_x0000_t202" id="docshape5" filled="false" stroked="false">
              <v:textbox inset="0,0,0,0">
                <w:txbxContent>
                  <w:p>
                    <w:pPr>
                      <w:pStyle w:val="BodyText"/>
                      <w:spacing w:before="20"/>
                      <w:ind w:left="20"/>
                    </w:pPr>
                    <w:r>
                      <w:rPr/>
                      <w:t>LDAP</w:t>
                    </w:r>
                    <w:r>
                      <w:rPr>
                        <w:spacing w:val="-7"/>
                      </w:rPr>
                      <w:t> </w:t>
                    </w:r>
                    <w:r>
                      <w:rPr/>
                      <w:t>Assertion</w:t>
                    </w:r>
                    <w:r>
                      <w:rPr>
                        <w:spacing w:val="-6"/>
                      </w:rPr>
                      <w:t> </w:t>
                    </w:r>
                    <w:r>
                      <w:rPr>
                        <w:spacing w:val="-2"/>
                      </w:rPr>
                      <w:t>Control</w:t>
                    </w:r>
                  </w:p>
                </w:txbxContent>
              </v:textbox>
              <w10:wrap type="none"/>
            </v:shape>
          </w:pict>
        </mc:Fallback>
      </mc:AlternateContent>
    </w:r>
    <w:r>
      <w:rPr/>
      <mc:AlternateContent>
        <mc:Choice Requires="wps">
          <w:drawing>
            <wp:anchor distT="0" distB="0" distL="0" distR="0" allowOverlap="1" layoutInCell="1" locked="0" behindDoc="1" simplePos="0" relativeHeight="487498240">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5818240"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1782" w:hanging="720"/>
      </w:pPr>
      <w:rPr>
        <w:rFonts w:hint="default"/>
        <w:lang w:val="en-US" w:eastAsia="en-US" w:bidi="ar-SA"/>
      </w:rPr>
    </w:lvl>
    <w:lvl w:ilvl="3">
      <w:start w:val="0"/>
      <w:numFmt w:val="bullet"/>
      <w:lvlText w:val="•"/>
      <w:lvlJc w:val="left"/>
      <w:pPr>
        <w:ind w:left="2684" w:hanging="720"/>
      </w:pPr>
      <w:rPr>
        <w:rFonts w:hint="default"/>
        <w:lang w:val="en-US" w:eastAsia="en-US" w:bidi="ar-SA"/>
      </w:rPr>
    </w:lvl>
    <w:lvl w:ilvl="4">
      <w:start w:val="0"/>
      <w:numFmt w:val="bullet"/>
      <w:lvlText w:val="•"/>
      <w:lvlJc w:val="left"/>
      <w:pPr>
        <w:ind w:left="3586" w:hanging="720"/>
      </w:pPr>
      <w:rPr>
        <w:rFonts w:hint="default"/>
        <w:lang w:val="en-US" w:eastAsia="en-US" w:bidi="ar-SA"/>
      </w:rPr>
    </w:lvl>
    <w:lvl w:ilvl="5">
      <w:start w:val="0"/>
      <w:numFmt w:val="bullet"/>
      <w:lvlText w:val="•"/>
      <w:lvlJc w:val="left"/>
      <w:pPr>
        <w:ind w:left="4488" w:hanging="720"/>
      </w:pPr>
      <w:rPr>
        <w:rFonts w:hint="default"/>
        <w:lang w:val="en-US" w:eastAsia="en-US" w:bidi="ar-SA"/>
      </w:rPr>
    </w:lvl>
    <w:lvl w:ilvl="6">
      <w:start w:val="0"/>
      <w:numFmt w:val="bullet"/>
      <w:lvlText w:val="•"/>
      <w:lvlJc w:val="left"/>
      <w:pPr>
        <w:ind w:left="5391" w:hanging="720"/>
      </w:pPr>
      <w:rPr>
        <w:rFonts w:hint="default"/>
        <w:lang w:val="en-US" w:eastAsia="en-US" w:bidi="ar-SA"/>
      </w:rPr>
    </w:lvl>
    <w:lvl w:ilvl="7">
      <w:start w:val="0"/>
      <w:numFmt w:val="bullet"/>
      <w:lvlText w:val="•"/>
      <w:lvlJc w:val="left"/>
      <w:pPr>
        <w:ind w:left="6293" w:hanging="720"/>
      </w:pPr>
      <w:rPr>
        <w:rFonts w:hint="default"/>
        <w:lang w:val="en-US" w:eastAsia="en-US" w:bidi="ar-SA"/>
      </w:rPr>
    </w:lvl>
    <w:lvl w:ilvl="8">
      <w:start w:val="0"/>
      <w:numFmt w:val="bullet"/>
      <w:lvlText w:val="•"/>
      <w:lvlJc w:val="left"/>
      <w:pPr>
        <w:ind w:left="7195" w:hanging="720"/>
      </w:pPr>
      <w:rPr>
        <w:rFonts w:hint="default"/>
        <w:lang w:val="en-US" w:eastAsia="en-US" w:bidi="ar-SA"/>
      </w:rPr>
    </w:lvl>
  </w:abstractNum>
  <w:abstractNum w:abstractNumId="0">
    <w:multiLevelType w:val="hybridMultilevel"/>
    <w:lvl w:ilvl="0">
      <w:start w:val="1"/>
      <w:numFmt w:val="decimal"/>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315" w:hanging="600"/>
      </w:pPr>
      <w:rPr>
        <w:rFonts w:hint="default"/>
        <w:lang w:val="en-US" w:eastAsia="en-US" w:bidi="ar-SA"/>
      </w:rPr>
    </w:lvl>
    <w:lvl w:ilvl="3">
      <w:start w:val="0"/>
      <w:numFmt w:val="bullet"/>
      <w:lvlText w:val="•"/>
      <w:lvlJc w:val="left"/>
      <w:pPr>
        <w:ind w:left="3151" w:hanging="600"/>
      </w:pPr>
      <w:rPr>
        <w:rFonts w:hint="default"/>
        <w:lang w:val="en-US" w:eastAsia="en-US" w:bidi="ar-SA"/>
      </w:rPr>
    </w:lvl>
    <w:lvl w:ilvl="4">
      <w:start w:val="0"/>
      <w:numFmt w:val="bullet"/>
      <w:lvlText w:val="•"/>
      <w:lvlJc w:val="left"/>
      <w:pPr>
        <w:ind w:left="3986" w:hanging="600"/>
      </w:pPr>
      <w:rPr>
        <w:rFonts w:hint="default"/>
        <w:lang w:val="en-US" w:eastAsia="en-US" w:bidi="ar-SA"/>
      </w:rPr>
    </w:lvl>
    <w:lvl w:ilvl="5">
      <w:start w:val="0"/>
      <w:numFmt w:val="bullet"/>
      <w:lvlText w:val="•"/>
      <w:lvlJc w:val="left"/>
      <w:pPr>
        <w:ind w:left="4822" w:hanging="600"/>
      </w:pPr>
      <w:rPr>
        <w:rFonts w:hint="default"/>
        <w:lang w:val="en-US" w:eastAsia="en-US" w:bidi="ar-SA"/>
      </w:rPr>
    </w:lvl>
    <w:lvl w:ilvl="6">
      <w:start w:val="0"/>
      <w:numFmt w:val="bullet"/>
      <w:lvlText w:val="•"/>
      <w:lvlJc w:val="left"/>
      <w:pPr>
        <w:ind w:left="5657" w:hanging="600"/>
      </w:pPr>
      <w:rPr>
        <w:rFonts w:hint="default"/>
        <w:lang w:val="en-US" w:eastAsia="en-US" w:bidi="ar-SA"/>
      </w:rPr>
    </w:lvl>
    <w:lvl w:ilvl="7">
      <w:start w:val="0"/>
      <w:numFmt w:val="bullet"/>
      <w:lvlText w:val="•"/>
      <w:lvlJc w:val="left"/>
      <w:pPr>
        <w:ind w:left="6493" w:hanging="600"/>
      </w:pPr>
      <w:rPr>
        <w:rFonts w:hint="default"/>
        <w:lang w:val="en-US" w:eastAsia="en-US" w:bidi="ar-SA"/>
      </w:rPr>
    </w:lvl>
    <w:lvl w:ilvl="8">
      <w:start w:val="0"/>
      <w:numFmt w:val="bullet"/>
      <w:lvlText w:val="•"/>
      <w:lvlJc w:val="left"/>
      <w:pPr>
        <w:ind w:left="7328" w:hanging="60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878" w:hanging="358"/>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kurt@OpenLDAP.org" TargetMode="External"/><Relationship Id="rId9" Type="http://schemas.openxmlformats.org/officeDocument/2006/relationships/hyperlink" Target="mailto:kurt@openldap.org" TargetMode="External"/><Relationship Id="rId10" Type="http://schemas.openxmlformats.org/officeDocument/2006/relationships/hyperlink" Target="mailto:Kurt@OpenLDAP.org" TargetMode="External"/><Relationship Id="rId11" Type="http://schemas.openxmlformats.org/officeDocument/2006/relationships/hyperlink" Target="http://www.ietf.org/ipr" TargetMode="External"/><Relationship Id="rId12" Type="http://schemas.openxmlformats.org/officeDocument/2006/relationships/hyperlink" Target="mailto:ietf-ipr@ietf.org"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2026-01-19T03:25:55Z</dcterms:created>
  <dcterms:modified xsi:type="dcterms:W3CDTF">2026-01-19T03:25:55Z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