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CellMar>
          <w:left w:w="10" w:type="dxa"/>
          <w:right w:w="10" w:type="dxa"/>
        </w:tblCellMar>
        <w:tblLook w:val="04A0" w:firstRow="1" w:lastRow="0" w:firstColumn="1" w:lastColumn="0" w:noHBand="0" w:noVBand="1"/>
      </w:tblPr>
      <w:tblGrid>
        <w:gridCol w:w="4080"/>
        <w:gridCol w:w="4080"/>
        <w:gridCol w:w="4080"/>
      </w:tblGrid>
      <w:tr w:rsidR="00FB3462" w14:paraId="70590DE3" w14:textId="77777777" w:rsidTr="002813E2">
        <w:tc>
          <w:tcPr>
            <w:tcW w:w="12240" w:type="dxa"/>
            <w:gridSpan w:val="3"/>
            <w:tcBorders>
              <w:top w:val="nil"/>
              <w:left w:val="nil"/>
              <w:bottom w:val="nil"/>
              <w:right w:val="nil"/>
            </w:tcBorders>
            <w:shd w:val="clear" w:color="auto" w:fill="10542B"/>
            <w:tcMar>
              <w:top w:w="360" w:type="dxa"/>
              <w:left w:w="480" w:type="dxa"/>
              <w:bottom w:w="360" w:type="dxa"/>
              <w:right w:w="480" w:type="dxa"/>
            </w:tcMar>
            <w:vAlign w:val="center"/>
          </w:tcPr>
          <w:p w14:paraId="3C9662CC" w14:textId="6398702D" w:rsidR="00FB3462" w:rsidRPr="00FB3462" w:rsidRDefault="003639C4" w:rsidP="002813E2">
            <w:pPr>
              <w:spacing w:after="40"/>
              <w:rPr>
                <w:b/>
                <w:bCs/>
                <w:color w:val="FFFFFF"/>
                <w:sz w:val="24"/>
                <w:szCs w:val="24"/>
              </w:rPr>
            </w:pPr>
            <w:r>
              <w:rPr>
                <w:b/>
                <w:bCs/>
                <w:color w:val="FFFFFF"/>
                <w:sz w:val="24"/>
                <w:szCs w:val="24"/>
              </w:rPr>
              <w:t xml:space="preserve">UNT System | </w:t>
            </w:r>
            <w:r w:rsidR="00FB3462">
              <w:rPr>
                <w:b/>
                <w:bCs/>
                <w:color w:val="FFFFFF"/>
                <w:sz w:val="24"/>
                <w:szCs w:val="24"/>
              </w:rPr>
              <w:t>IDENTITY AND ACCESS MANAGEMENT</w:t>
            </w:r>
          </w:p>
        </w:tc>
      </w:tr>
      <w:tr w:rsidR="004E2E2D" w14:paraId="4E6D3082" w14:textId="77777777">
        <w:tblPrEx>
          <w:tblBorders>
            <w:top w:val="single" w:sz="4" w:space="0" w:color="auto"/>
            <w:left w:val="single" w:sz="4" w:space="0" w:color="auto"/>
            <w:bottom w:val="single" w:sz="4" w:space="0" w:color="auto"/>
            <w:right w:val="single" w:sz="4" w:space="0" w:color="auto"/>
            <w:insideH w:val="single" w:sz="4" w:space="0" w:color="auto"/>
          </w:tblBorders>
        </w:tblPrEx>
        <w:tc>
          <w:tcPr>
            <w:tcW w:w="12240" w:type="dxa"/>
            <w:gridSpan w:val="3"/>
            <w:tcBorders>
              <w:top w:val="nil"/>
              <w:left w:val="nil"/>
              <w:bottom w:val="nil"/>
              <w:right w:val="nil"/>
            </w:tcBorders>
            <w:shd w:val="clear" w:color="auto" w:fill="FFFFFF"/>
            <w:tcMar>
              <w:top w:w="800" w:type="dxa"/>
              <w:left w:w="1080" w:type="dxa"/>
              <w:bottom w:w="300" w:type="dxa"/>
              <w:right w:w="1080" w:type="dxa"/>
            </w:tcMar>
            <w:vAlign w:val="center"/>
          </w:tcPr>
          <w:p w14:paraId="09B887BB" w14:textId="77777777" w:rsidR="004E2E2D" w:rsidRDefault="00000000">
            <w:pPr>
              <w:spacing w:after="280"/>
              <w:ind w:left="-160"/>
            </w:pPr>
            <w:r>
              <w:rPr>
                <w:noProof/>
              </w:rPr>
              <w:drawing>
                <wp:inline distT="0" distB="0" distL="0" distR="0" wp14:anchorId="4FA23F77" wp14:editId="1E69A63A">
                  <wp:extent cx="4000500" cy="809625"/>
                  <wp:effectExtent l="0" t="0" r="0" b="0"/>
                  <wp:docPr id="1" name="UNTSystemLogo" descr="UNT System logo" title="U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809625"/>
                          </a:xfrm>
                          <a:prstGeom prst="rect">
                            <a:avLst/>
                          </a:prstGeom>
                        </pic:spPr>
                      </pic:pic>
                    </a:graphicData>
                  </a:graphic>
                </wp:inline>
              </w:drawing>
            </w:r>
          </w:p>
          <w:p w14:paraId="76E0B228" w14:textId="77777777" w:rsidR="00AF15A8" w:rsidRDefault="00AF15A8">
            <w:pPr>
              <w:spacing w:after="100"/>
              <w:rPr>
                <w:color w:val="6B6B6B"/>
                <w:sz w:val="52"/>
                <w:szCs w:val="52"/>
              </w:rPr>
            </w:pPr>
          </w:p>
          <w:p w14:paraId="073BCB15" w14:textId="25382B45" w:rsidR="004E2E2D" w:rsidRDefault="00000000">
            <w:pPr>
              <w:spacing w:after="100"/>
            </w:pPr>
            <w:r>
              <w:rPr>
                <w:color w:val="6B6B6B"/>
                <w:sz w:val="52"/>
                <w:szCs w:val="52"/>
              </w:rPr>
              <w:t>Entra Migration</w:t>
            </w:r>
          </w:p>
          <w:p w14:paraId="1BEA964F" w14:textId="77777777" w:rsidR="004E2E2D" w:rsidRPr="00A415C0" w:rsidRDefault="00000000">
            <w:pPr>
              <w:spacing w:after="400"/>
              <w:rPr>
                <w:b/>
                <w:bCs/>
                <w:color w:val="10542B"/>
                <w:sz w:val="72"/>
                <w:szCs w:val="72"/>
              </w:rPr>
            </w:pPr>
            <w:r>
              <w:rPr>
                <w:b/>
                <w:bCs/>
                <w:color w:val="10542B"/>
                <w:sz w:val="72"/>
                <w:szCs w:val="72"/>
              </w:rPr>
              <w:t>Functional Requirements Document</w:t>
            </w:r>
          </w:p>
          <w:p w14:paraId="11951896" w14:textId="77777777" w:rsidR="004E2E2D" w:rsidRDefault="004E2E2D">
            <w:pPr>
              <w:pBdr>
                <w:top w:val="single" w:sz="6" w:space="8" w:color="00853E"/>
              </w:pBdr>
              <w:spacing w:after="80"/>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49"/>
              <w:gridCol w:w="7731"/>
            </w:tblGrid>
            <w:tr w:rsidR="005D1FE0" w14:paraId="0A2F8A3A" w14:textId="77777777">
              <w:trPr>
                <w:tblCellSpacing w:w="15" w:type="dxa"/>
              </w:trPr>
              <w:tc>
                <w:tcPr>
                  <w:tcW w:w="2304" w:type="dxa"/>
                  <w:tcBorders>
                    <w:top w:val="nil"/>
                    <w:left w:val="nil"/>
                    <w:bottom w:val="nil"/>
                    <w:right w:val="nil"/>
                  </w:tcBorders>
                  <w:tcMar>
                    <w:top w:w="0" w:type="dxa"/>
                    <w:left w:w="0" w:type="dxa"/>
                    <w:bottom w:w="0" w:type="dxa"/>
                    <w:right w:w="240" w:type="dxa"/>
                  </w:tcMar>
                  <w:vAlign w:val="center"/>
                  <w:hideMark/>
                </w:tcPr>
                <w:p w14:paraId="53C47373" w14:textId="77777777" w:rsidR="005D1FE0" w:rsidRDefault="005D1FE0">
                  <w:pPr>
                    <w:spacing w:after="80"/>
                    <w:rPr>
                      <w:kern w:val="2"/>
                      <w14:ligatures w14:val="standardContextual"/>
                    </w:rPr>
                  </w:pPr>
                  <w:r>
                    <w:rPr>
                      <w:b/>
                      <w:bCs/>
                      <w:color w:val="6B6B6B"/>
                      <w:sz w:val="22"/>
                      <w:szCs w:val="22"/>
                    </w:rPr>
                    <w:t>Prepared by:</w:t>
                  </w:r>
                </w:p>
              </w:tc>
              <w:tc>
                <w:tcPr>
                  <w:tcW w:w="0" w:type="auto"/>
                  <w:tcBorders>
                    <w:top w:val="nil"/>
                    <w:left w:val="nil"/>
                    <w:bottom w:val="nil"/>
                    <w:right w:val="nil"/>
                  </w:tcBorders>
                  <w:tcMar>
                    <w:top w:w="0" w:type="dxa"/>
                    <w:left w:w="0" w:type="dxa"/>
                    <w:bottom w:w="0" w:type="dxa"/>
                    <w:right w:w="0" w:type="dxa"/>
                  </w:tcMar>
                  <w:vAlign w:val="center"/>
                  <w:hideMark/>
                </w:tcPr>
                <w:p w14:paraId="328DEFA6" w14:textId="77777777" w:rsidR="005D1FE0" w:rsidRDefault="005D1FE0">
                  <w:pPr>
                    <w:spacing w:after="80"/>
                  </w:pPr>
                  <w:r>
                    <w:rPr>
                      <w:color w:val="1A1A1A"/>
                      <w:sz w:val="22"/>
                      <w:szCs w:val="22"/>
                    </w:rPr>
                    <w:t>Jack Stewart, Identity and Access Management Architect/Engineer</w:t>
                  </w:r>
                </w:p>
              </w:tc>
            </w:tr>
            <w:tr w:rsidR="005D1FE0" w14:paraId="403EAD6A" w14:textId="77777777">
              <w:trPr>
                <w:tblCellSpacing w:w="15" w:type="dxa"/>
              </w:trPr>
              <w:tc>
                <w:tcPr>
                  <w:tcW w:w="2304" w:type="dxa"/>
                  <w:tcBorders>
                    <w:top w:val="nil"/>
                    <w:left w:val="nil"/>
                    <w:bottom w:val="nil"/>
                    <w:right w:val="nil"/>
                  </w:tcBorders>
                  <w:tcMar>
                    <w:top w:w="0" w:type="dxa"/>
                    <w:left w:w="0" w:type="dxa"/>
                    <w:bottom w:w="0" w:type="dxa"/>
                    <w:right w:w="240" w:type="dxa"/>
                  </w:tcMar>
                  <w:vAlign w:val="center"/>
                  <w:hideMark/>
                </w:tcPr>
                <w:p w14:paraId="5CD67B28" w14:textId="77777777" w:rsidR="005D1FE0" w:rsidRDefault="005D1FE0">
                  <w:pPr>
                    <w:spacing w:after="80"/>
                  </w:pPr>
                  <w:r>
                    <w:rPr>
                      <w:b/>
                      <w:bCs/>
                      <w:color w:val="6B6B6B"/>
                      <w:sz w:val="22"/>
                      <w:szCs w:val="22"/>
                    </w:rPr>
                    <w:t>Data Source:</w:t>
                  </w:r>
                </w:p>
              </w:tc>
              <w:tc>
                <w:tcPr>
                  <w:tcW w:w="0" w:type="auto"/>
                  <w:tcBorders>
                    <w:top w:val="nil"/>
                    <w:left w:val="nil"/>
                    <w:bottom w:val="nil"/>
                    <w:right w:val="nil"/>
                  </w:tcBorders>
                  <w:tcMar>
                    <w:top w:w="0" w:type="dxa"/>
                    <w:left w:w="0" w:type="dxa"/>
                    <w:bottom w:w="0" w:type="dxa"/>
                    <w:right w:w="0" w:type="dxa"/>
                  </w:tcMar>
                  <w:vAlign w:val="center"/>
                  <w:hideMark/>
                </w:tcPr>
                <w:p w14:paraId="2B3F8E31" w14:textId="77777777" w:rsidR="005D1FE0" w:rsidRDefault="005D1FE0">
                  <w:pPr>
                    <w:spacing w:after="80"/>
                  </w:pPr>
                  <w:r>
                    <w:rPr>
                      <w:color w:val="1A1A1A"/>
                      <w:sz w:val="22"/>
                      <w:szCs w:val="22"/>
                    </w:rPr>
                    <w:t>Fit-Gap Analysis  |  Fall–Winter 2025</w:t>
                  </w:r>
                </w:p>
              </w:tc>
            </w:tr>
            <w:tr w:rsidR="005D1FE0" w14:paraId="5D359AD5" w14:textId="77777777">
              <w:trPr>
                <w:tblCellSpacing w:w="15" w:type="dxa"/>
              </w:trPr>
              <w:tc>
                <w:tcPr>
                  <w:tcW w:w="2304" w:type="dxa"/>
                  <w:tcBorders>
                    <w:top w:val="nil"/>
                    <w:left w:val="nil"/>
                    <w:bottom w:val="nil"/>
                    <w:right w:val="nil"/>
                  </w:tcBorders>
                  <w:tcMar>
                    <w:top w:w="0" w:type="dxa"/>
                    <w:left w:w="0" w:type="dxa"/>
                    <w:bottom w:w="0" w:type="dxa"/>
                    <w:right w:w="240" w:type="dxa"/>
                  </w:tcMar>
                  <w:vAlign w:val="center"/>
                  <w:hideMark/>
                </w:tcPr>
                <w:p w14:paraId="3F8F9D84" w14:textId="77777777" w:rsidR="005D1FE0" w:rsidRDefault="005D1FE0">
                  <w:pPr>
                    <w:spacing w:after="80"/>
                  </w:pPr>
                  <w:r>
                    <w:rPr>
                      <w:b/>
                      <w:bCs/>
                      <w:color w:val="6B6B6B"/>
                      <w:sz w:val="22"/>
                      <w:szCs w:val="22"/>
                    </w:rPr>
                    <w:t>Coverage:</w:t>
                  </w:r>
                </w:p>
              </w:tc>
              <w:tc>
                <w:tcPr>
                  <w:tcW w:w="0" w:type="auto"/>
                  <w:tcBorders>
                    <w:top w:val="nil"/>
                    <w:left w:val="nil"/>
                    <w:bottom w:val="nil"/>
                    <w:right w:val="nil"/>
                  </w:tcBorders>
                  <w:tcMar>
                    <w:top w:w="0" w:type="dxa"/>
                    <w:left w:w="0" w:type="dxa"/>
                    <w:bottom w:w="0" w:type="dxa"/>
                    <w:right w:w="0" w:type="dxa"/>
                  </w:tcMar>
                  <w:vAlign w:val="center"/>
                  <w:hideMark/>
                </w:tcPr>
                <w:p w14:paraId="039A9AE9" w14:textId="77777777" w:rsidR="005D1FE0" w:rsidRDefault="005D1FE0">
                  <w:pPr>
                    <w:spacing w:after="80"/>
                  </w:pPr>
                  <w:r>
                    <w:rPr>
                      <w:color w:val="1A1A1A"/>
                      <w:sz w:val="22"/>
                      <w:szCs w:val="22"/>
                    </w:rPr>
                    <w:t>17 Units  |  9 Response Files  |  50 Requirements</w:t>
                  </w:r>
                </w:p>
              </w:tc>
            </w:tr>
            <w:tr w:rsidR="005D1FE0" w14:paraId="15FF1134" w14:textId="77777777">
              <w:trPr>
                <w:tblCellSpacing w:w="15" w:type="dxa"/>
              </w:trPr>
              <w:tc>
                <w:tcPr>
                  <w:tcW w:w="2304" w:type="dxa"/>
                  <w:tcBorders>
                    <w:top w:val="nil"/>
                    <w:left w:val="nil"/>
                    <w:bottom w:val="nil"/>
                    <w:right w:val="nil"/>
                  </w:tcBorders>
                  <w:tcMar>
                    <w:top w:w="0" w:type="dxa"/>
                    <w:left w:w="0" w:type="dxa"/>
                    <w:bottom w:w="0" w:type="dxa"/>
                    <w:right w:w="240" w:type="dxa"/>
                  </w:tcMar>
                  <w:vAlign w:val="center"/>
                  <w:hideMark/>
                </w:tcPr>
                <w:p w14:paraId="6C81D470" w14:textId="77777777" w:rsidR="005D1FE0" w:rsidRDefault="005D1FE0">
                  <w:pPr>
                    <w:spacing w:after="80"/>
                  </w:pPr>
                  <w:r>
                    <w:rPr>
                      <w:b/>
                      <w:bCs/>
                      <w:color w:val="6B6B6B"/>
                      <w:sz w:val="22"/>
                      <w:szCs w:val="22"/>
                    </w:rPr>
                    <w:t>Status:</w:t>
                  </w:r>
                </w:p>
              </w:tc>
              <w:tc>
                <w:tcPr>
                  <w:tcW w:w="0" w:type="auto"/>
                  <w:tcBorders>
                    <w:top w:val="nil"/>
                    <w:left w:val="nil"/>
                    <w:bottom w:val="nil"/>
                    <w:right w:val="nil"/>
                  </w:tcBorders>
                  <w:tcMar>
                    <w:top w:w="0" w:type="dxa"/>
                    <w:left w:w="0" w:type="dxa"/>
                    <w:bottom w:w="0" w:type="dxa"/>
                    <w:right w:w="0" w:type="dxa"/>
                  </w:tcMar>
                  <w:vAlign w:val="center"/>
                  <w:hideMark/>
                </w:tcPr>
                <w:p w14:paraId="4BBFBE94" w14:textId="77777777" w:rsidR="005D1FE0" w:rsidRDefault="005D1FE0">
                  <w:pPr>
                    <w:spacing w:after="80"/>
                  </w:pPr>
                  <w:r>
                    <w:rPr>
                      <w:color w:val="1A1A1A"/>
                      <w:sz w:val="22"/>
                      <w:szCs w:val="22"/>
                    </w:rPr>
                    <w:t>Draft — For Stakeholder Review</w:t>
                  </w:r>
                </w:p>
              </w:tc>
            </w:tr>
            <w:tr w:rsidR="005D1FE0" w14:paraId="1FD9A170" w14:textId="77777777">
              <w:trPr>
                <w:tblCellSpacing w:w="15" w:type="dxa"/>
              </w:trPr>
              <w:tc>
                <w:tcPr>
                  <w:tcW w:w="2304" w:type="dxa"/>
                  <w:tcBorders>
                    <w:top w:val="nil"/>
                    <w:left w:val="nil"/>
                    <w:bottom w:val="nil"/>
                    <w:right w:val="nil"/>
                  </w:tcBorders>
                  <w:tcMar>
                    <w:top w:w="0" w:type="dxa"/>
                    <w:left w:w="0" w:type="dxa"/>
                    <w:bottom w:w="0" w:type="dxa"/>
                    <w:right w:w="240" w:type="dxa"/>
                  </w:tcMar>
                  <w:vAlign w:val="center"/>
                  <w:hideMark/>
                </w:tcPr>
                <w:p w14:paraId="7543BEC5" w14:textId="77777777" w:rsidR="005D1FE0" w:rsidRDefault="005D1FE0">
                  <w:pPr>
                    <w:spacing w:after="80"/>
                  </w:pPr>
                  <w:r>
                    <w:rPr>
                      <w:b/>
                      <w:bCs/>
                      <w:color w:val="6B6B6B"/>
                      <w:sz w:val="22"/>
                      <w:szCs w:val="22"/>
                    </w:rPr>
                    <w:t>Date:</w:t>
                  </w:r>
                </w:p>
              </w:tc>
              <w:tc>
                <w:tcPr>
                  <w:tcW w:w="0" w:type="auto"/>
                  <w:tcBorders>
                    <w:top w:val="nil"/>
                    <w:left w:val="nil"/>
                    <w:bottom w:val="nil"/>
                    <w:right w:val="nil"/>
                  </w:tcBorders>
                  <w:tcMar>
                    <w:top w:w="0" w:type="dxa"/>
                    <w:left w:w="0" w:type="dxa"/>
                    <w:bottom w:w="0" w:type="dxa"/>
                    <w:right w:w="0" w:type="dxa"/>
                  </w:tcMar>
                  <w:vAlign w:val="center"/>
                  <w:hideMark/>
                </w:tcPr>
                <w:p w14:paraId="42FA8553" w14:textId="77777777" w:rsidR="005D1FE0" w:rsidRDefault="005D1FE0">
                  <w:pPr>
                    <w:spacing w:after="80"/>
                  </w:pPr>
                  <w:r>
                    <w:rPr>
                      <w:color w:val="1A1A1A"/>
                      <w:sz w:val="22"/>
                      <w:szCs w:val="22"/>
                    </w:rPr>
                    <w:t>April 13</w:t>
                  </w:r>
                  <w:r>
                    <w:rPr>
                      <w:color w:val="1A1A1A"/>
                      <w:sz w:val="22"/>
                      <w:szCs w:val="22"/>
                      <w:vertAlign w:val="superscript"/>
                    </w:rPr>
                    <w:t>th</w:t>
                  </w:r>
                  <w:r>
                    <w:rPr>
                      <w:color w:val="1A1A1A"/>
                      <w:sz w:val="22"/>
                      <w:szCs w:val="22"/>
                    </w:rPr>
                    <w:t>, 2026</w:t>
                  </w:r>
                </w:p>
              </w:tc>
            </w:tr>
          </w:tbl>
          <w:p w14:paraId="664545B4" w14:textId="77777777" w:rsidR="005D1FE0" w:rsidRDefault="005D1FE0">
            <w:pPr>
              <w:spacing w:after="80"/>
            </w:pPr>
          </w:p>
          <w:p w14:paraId="0169AF0D" w14:textId="152CAB99" w:rsidR="006A6291" w:rsidRDefault="006A6291">
            <w:pPr>
              <w:spacing w:after="80"/>
            </w:pPr>
          </w:p>
        </w:tc>
      </w:tr>
      <w:tr w:rsidR="002961F4" w14:paraId="5B06AA1F" w14:textId="77777777" w:rsidTr="002961F4">
        <w:tc>
          <w:tcPr>
            <w:tcW w:w="4080" w:type="dxa"/>
            <w:tcBorders>
              <w:top w:val="nil"/>
              <w:left w:val="nil"/>
              <w:bottom w:val="single" w:sz="4" w:space="0" w:color="FFFFFF"/>
              <w:right w:val="single" w:sz="4" w:space="0" w:color="FFFFFF"/>
            </w:tcBorders>
            <w:shd w:val="clear" w:color="auto" w:fill="1B4332"/>
            <w:tcMar>
              <w:top w:w="360" w:type="dxa"/>
              <w:left w:w="480" w:type="dxa"/>
              <w:bottom w:w="360" w:type="dxa"/>
              <w:right w:w="480" w:type="dxa"/>
            </w:tcMar>
            <w:vAlign w:val="center"/>
            <w:hideMark/>
          </w:tcPr>
          <w:p w14:paraId="4117E7D7" w14:textId="77777777" w:rsidR="002961F4" w:rsidRDefault="002961F4">
            <w:pPr>
              <w:spacing w:after="40"/>
              <w:rPr>
                <w:kern w:val="2"/>
                <w14:ligatures w14:val="standardContextual"/>
              </w:rPr>
            </w:pPr>
            <w:r>
              <w:rPr>
                <w:b/>
                <w:bCs/>
                <w:color w:val="FFFFFF"/>
                <w:sz w:val="72"/>
                <w:szCs w:val="72"/>
              </w:rPr>
              <w:t>20</w:t>
            </w:r>
          </w:p>
          <w:p w14:paraId="4D25EBB6" w14:textId="77777777" w:rsidR="002961F4" w:rsidRDefault="002961F4">
            <w:pPr>
              <w:spacing w:after="20"/>
            </w:pPr>
            <w:r>
              <w:rPr>
                <w:b/>
                <w:bCs/>
                <w:color w:val="FFFFFF"/>
                <w:sz w:val="22"/>
                <w:szCs w:val="22"/>
              </w:rPr>
              <w:t>MUST-HAVE</w:t>
            </w:r>
          </w:p>
          <w:p w14:paraId="42D07F55" w14:textId="77777777" w:rsidR="002961F4" w:rsidRDefault="002961F4">
            <w:r>
              <w:rPr>
                <w:color w:val="A7F3D0"/>
                <w:sz w:val="18"/>
                <w:szCs w:val="18"/>
              </w:rPr>
              <w:t>Migration acceptance criteria</w:t>
            </w:r>
          </w:p>
        </w:tc>
        <w:tc>
          <w:tcPr>
            <w:tcW w:w="4080" w:type="dxa"/>
            <w:tcBorders>
              <w:top w:val="nil"/>
              <w:left w:val="single" w:sz="4" w:space="0" w:color="FFFFFF"/>
              <w:bottom w:val="single" w:sz="4" w:space="0" w:color="FFFFFF"/>
              <w:right w:val="single" w:sz="4" w:space="0" w:color="FFFFFF"/>
            </w:tcBorders>
            <w:shd w:val="clear" w:color="auto" w:fill="10542B"/>
            <w:tcMar>
              <w:top w:w="360" w:type="dxa"/>
              <w:left w:w="480" w:type="dxa"/>
              <w:bottom w:w="360" w:type="dxa"/>
              <w:right w:w="480" w:type="dxa"/>
            </w:tcMar>
            <w:vAlign w:val="center"/>
            <w:hideMark/>
          </w:tcPr>
          <w:p w14:paraId="53B1AE07" w14:textId="77777777" w:rsidR="002961F4" w:rsidRDefault="002961F4">
            <w:pPr>
              <w:spacing w:after="40"/>
            </w:pPr>
            <w:r>
              <w:rPr>
                <w:b/>
                <w:bCs/>
                <w:color w:val="FFFFFF"/>
                <w:sz w:val="72"/>
                <w:szCs w:val="72"/>
              </w:rPr>
              <w:t>15</w:t>
            </w:r>
          </w:p>
          <w:p w14:paraId="626E2DB0" w14:textId="77777777" w:rsidR="002961F4" w:rsidRDefault="002961F4">
            <w:pPr>
              <w:spacing w:after="20"/>
            </w:pPr>
            <w:r>
              <w:rPr>
                <w:b/>
                <w:bCs/>
                <w:color w:val="FFFFFF"/>
                <w:sz w:val="22"/>
                <w:szCs w:val="22"/>
              </w:rPr>
              <w:t>NICE-TO-HAVE</w:t>
            </w:r>
          </w:p>
          <w:p w14:paraId="37DBAF66" w14:textId="77777777" w:rsidR="002961F4" w:rsidRDefault="002961F4">
            <w:r>
              <w:rPr>
                <w:color w:val="A7F3D0"/>
                <w:sz w:val="18"/>
                <w:szCs w:val="18"/>
              </w:rPr>
              <w:t>Phase 2 roadmap items</w:t>
            </w:r>
          </w:p>
        </w:tc>
        <w:tc>
          <w:tcPr>
            <w:tcW w:w="4080" w:type="dxa"/>
            <w:tcBorders>
              <w:top w:val="nil"/>
              <w:left w:val="single" w:sz="4" w:space="0" w:color="FFFFFF"/>
              <w:bottom w:val="single" w:sz="4" w:space="0" w:color="FFFFFF"/>
              <w:right w:val="nil"/>
            </w:tcBorders>
            <w:shd w:val="clear" w:color="auto" w:fill="2E8B57"/>
            <w:tcMar>
              <w:top w:w="360" w:type="dxa"/>
              <w:left w:w="480" w:type="dxa"/>
              <w:bottom w:w="360" w:type="dxa"/>
              <w:right w:w="480" w:type="dxa"/>
            </w:tcMar>
            <w:vAlign w:val="center"/>
            <w:hideMark/>
          </w:tcPr>
          <w:p w14:paraId="01E4BC91" w14:textId="77777777" w:rsidR="002961F4" w:rsidRDefault="002961F4">
            <w:pPr>
              <w:spacing w:after="40"/>
            </w:pPr>
            <w:r>
              <w:rPr>
                <w:b/>
                <w:bCs/>
                <w:color w:val="FFFFFF"/>
                <w:sz w:val="72"/>
                <w:szCs w:val="72"/>
              </w:rPr>
              <w:t>15</w:t>
            </w:r>
          </w:p>
          <w:p w14:paraId="3F22B85B" w14:textId="77777777" w:rsidR="002961F4" w:rsidRDefault="002961F4">
            <w:pPr>
              <w:spacing w:after="20"/>
            </w:pPr>
            <w:r>
              <w:rPr>
                <w:b/>
                <w:bCs/>
                <w:color w:val="FFFFFF"/>
                <w:sz w:val="22"/>
                <w:szCs w:val="22"/>
              </w:rPr>
              <w:t>DON’T YET EXIST</w:t>
            </w:r>
          </w:p>
          <w:p w14:paraId="32073EF2" w14:textId="77777777" w:rsidR="002961F4" w:rsidRDefault="002961F4">
            <w:r>
              <w:rPr>
                <w:color w:val="D1FAE5"/>
                <w:sz w:val="18"/>
                <w:szCs w:val="18"/>
              </w:rPr>
              <w:t>Strategic capability gaps</w:t>
            </w:r>
          </w:p>
        </w:tc>
      </w:tr>
      <w:tr w:rsidR="002961F4" w14:paraId="6836210C" w14:textId="77777777" w:rsidTr="002961F4">
        <w:trPr>
          <w:trHeight w:val="15"/>
        </w:trPr>
        <w:tc>
          <w:tcPr>
            <w:tcW w:w="12240" w:type="dxa"/>
            <w:gridSpan w:val="3"/>
            <w:tcBorders>
              <w:top w:val="single" w:sz="4" w:space="0" w:color="FFFFFF"/>
              <w:left w:val="nil"/>
              <w:bottom w:val="nil"/>
              <w:right w:val="nil"/>
            </w:tcBorders>
            <w:shd w:val="clear" w:color="auto" w:fill="10542B"/>
            <w:tcMar>
              <w:top w:w="360" w:type="dxa"/>
              <w:left w:w="480" w:type="dxa"/>
              <w:bottom w:w="360" w:type="dxa"/>
              <w:right w:w="480" w:type="dxa"/>
            </w:tcMar>
            <w:vAlign w:val="center"/>
            <w:hideMark/>
          </w:tcPr>
          <w:p w14:paraId="27544DB7" w14:textId="77777777" w:rsidR="002961F4" w:rsidRDefault="002961F4">
            <w:pPr>
              <w:rPr>
                <w:kern w:val="2"/>
                <w14:ligatures w14:val="standardContextual"/>
              </w:rPr>
            </w:pPr>
            <w:r>
              <w:rPr>
                <w:b/>
                <w:bCs/>
                <w:color w:val="FFFFFF"/>
                <w:sz w:val="24"/>
                <w:szCs w:val="24"/>
              </w:rPr>
              <w:t xml:space="preserve">CONFIDENTIAL </w:t>
            </w:r>
            <w:r>
              <w:rPr>
                <w:color w:val="FFFFFF"/>
                <w:sz w:val="24"/>
                <w:szCs w:val="24"/>
              </w:rPr>
              <w:t>— INTERNAL USE ONLY</w:t>
            </w:r>
          </w:p>
        </w:tc>
      </w:tr>
    </w:tbl>
    <w:p w14:paraId="0D66C366" w14:textId="77777777" w:rsidR="004E2E2D" w:rsidRDefault="004E2E2D">
      <w:pPr>
        <w:sectPr w:rsidR="004E2E2D">
          <w:pgSz w:w="12240" w:h="15840"/>
          <w:pgMar w:top="1200" w:right="0" w:bottom="0" w:left="0" w:header="708" w:footer="708" w:gutter="0"/>
          <w:cols w:space="720"/>
          <w:docGrid w:linePitch="360"/>
        </w:sectPr>
      </w:pPr>
    </w:p>
    <w:p w14:paraId="780CE2D5" w14:textId="77777777" w:rsidR="00A415C0" w:rsidRPr="00DF39C5" w:rsidRDefault="00A415C0" w:rsidP="00A415C0">
      <w:pPr>
        <w:pStyle w:val="Heading1"/>
        <w:rPr>
          <w:color w:val="10542B"/>
          <w:kern w:val="36"/>
          <w14:ligatures w14:val="standardContextual"/>
        </w:rPr>
      </w:pPr>
      <w:r>
        <w:rPr>
          <w:color w:val="10542B"/>
        </w:rPr>
        <w:lastRenderedPageBreak/>
        <w:t>1.  Purpose &amp; Scope</w:t>
      </w:r>
    </w:p>
    <w:p w14:paraId="7C541A55" w14:textId="77777777" w:rsidR="004E2E2D" w:rsidRDefault="00000000">
      <w:pPr>
        <w:spacing w:after="140"/>
      </w:pPr>
      <w:r>
        <w:rPr>
          <w:color w:val="1A1A1A"/>
        </w:rPr>
        <w:t>This document translates stakeholder responses from the UNT System fit-gap analysis into structured functional requirements for the Entra identity migration project. It is intended as a living artifact to be reviewed with stakeholders, refined over successive iterations, and ultimately used to establish the acceptance criteria and roadmap for the migration program.</w:t>
      </w:r>
    </w:p>
    <w:p w14:paraId="418336E0" w14:textId="77777777" w:rsidR="004E2E2D" w:rsidRDefault="00000000">
      <w:pPr>
        <w:spacing w:after="140"/>
      </w:pPr>
      <w:r>
        <w:rPr>
          <w:color w:val="1A1A1A"/>
        </w:rPr>
        <w:t>Requirements are organized into three tiers:</w:t>
      </w:r>
    </w:p>
    <w:p w14:paraId="61DCFCED" w14:textId="77777777" w:rsidR="004E2E2D" w:rsidRDefault="004E2E2D">
      <w:pPr>
        <w:spacing w:after="60"/>
      </w:pPr>
    </w:p>
    <w:p w14:paraId="75DFE9DC" w14:textId="77777777" w:rsidR="004E2E2D" w:rsidRDefault="00000000">
      <w:pPr>
        <w:pStyle w:val="ListParagraph"/>
        <w:numPr>
          <w:ilvl w:val="0"/>
          <w:numId w:val="2"/>
        </w:numPr>
        <w:spacing w:after="100"/>
        <w:ind w:left="360"/>
      </w:pPr>
      <w:r>
        <w:rPr>
          <w:color w:val="1A1A1A"/>
        </w:rPr>
        <w:t>Must-Have (MH) — Non-negotiable for a successful migration. These requirements address blocking dependencies, compliance obligations, and operational continuity. All 20 must be satisfied before any production cutover.</w:t>
      </w:r>
    </w:p>
    <w:p w14:paraId="2A1B8DFE" w14:textId="77777777" w:rsidR="004E2E2D" w:rsidRDefault="00000000">
      <w:pPr>
        <w:pStyle w:val="ListParagraph"/>
        <w:numPr>
          <w:ilvl w:val="0"/>
          <w:numId w:val="2"/>
        </w:numPr>
        <w:spacing w:after="100"/>
        <w:ind w:left="360"/>
      </w:pPr>
      <w:r>
        <w:rPr>
          <w:color w:val="1A1A1A"/>
        </w:rPr>
        <w:t>Nice-to-Have (NH) — Meaningful improvements that are technically feasible within the Entra platform but are not cutover blockers. These belong in the Phase 2 roadmap.</w:t>
      </w:r>
    </w:p>
    <w:p w14:paraId="7E23007E" w14:textId="77777777" w:rsidR="004E2E2D" w:rsidRDefault="00000000">
      <w:pPr>
        <w:pStyle w:val="ListParagraph"/>
        <w:numPr>
          <w:ilvl w:val="0"/>
          <w:numId w:val="2"/>
        </w:numPr>
        <w:spacing w:after="100"/>
        <w:ind w:left="360"/>
      </w:pPr>
      <w:r>
        <w:rPr>
          <w:color w:val="1A1A1A"/>
        </w:rPr>
        <w:t>Don't Yet Exist (NE) — Capabilities entirely absent from the current environment. The Entra migration creates a strategic opportunity to introduce several of these. They represent Phase 2–3 investments.</w:t>
      </w:r>
    </w:p>
    <w:p w14:paraId="1FD6DCF5" w14:textId="77777777" w:rsidR="004E2E2D" w:rsidRDefault="004E2E2D">
      <w:pPr>
        <w:spacing w:after="100"/>
      </w:pPr>
    </w:p>
    <w:p w14:paraId="10E76E29" w14:textId="77777777" w:rsidR="004E2E2D" w:rsidRDefault="00000000">
      <w:pPr>
        <w:spacing w:after="140"/>
      </w:pPr>
      <w:r>
        <w:rPr>
          <w:color w:val="1A1A1A"/>
        </w:rPr>
        <w:t>Each requirement is assigned a unique identifier, a descriptive title, detail and evidence drawn directly from the fit-gap survey data, and the primary stakeholder groups who surfaced the need.</w:t>
      </w:r>
    </w:p>
    <w:p w14:paraId="1979D57E" w14:textId="77777777" w:rsidR="004E2E2D" w:rsidRDefault="004E2E2D">
      <w:pPr>
        <w:spacing w:after="80"/>
      </w:pPr>
    </w:p>
    <w:p w14:paraId="5C40E96F" w14:textId="77777777" w:rsidR="00A415C0" w:rsidRPr="00DF39C5" w:rsidRDefault="00A415C0" w:rsidP="00A415C0">
      <w:pPr>
        <w:pStyle w:val="Heading1"/>
        <w:rPr>
          <w:color w:val="10542B"/>
          <w:kern w:val="36"/>
          <w14:ligatures w14:val="standardContextual"/>
        </w:rPr>
      </w:pPr>
      <w:r>
        <w:rPr>
          <w:color w:val="10542B"/>
        </w:rPr>
        <w:t>2.  Methodology</w:t>
      </w:r>
    </w:p>
    <w:p w14:paraId="03D60415" w14:textId="77777777" w:rsidR="004E2E2D" w:rsidRDefault="00000000">
      <w:pPr>
        <w:spacing w:after="140"/>
      </w:pPr>
      <w:r>
        <w:rPr>
          <w:color w:val="1A1A1A"/>
        </w:rPr>
        <w:t>The fit-gap analyses were conducted by the IAM team during Fall–Winter 2025 through structured interviews and surveys with 17 units across the UNT System. Participating units included UNT Academic IT Services, Academic Technology, UNT Health, Business Offices (Talent Acquisition, Academic Advising), and ten System IT groups spanning Enterprise Applications, Enterprise Systems, Information Security, IT Operations, and Datacomm.</w:t>
      </w:r>
    </w:p>
    <w:p w14:paraId="44673EB8" w14:textId="77777777" w:rsidR="004E2E2D" w:rsidRDefault="00000000">
      <w:pPr>
        <w:spacing w:after="140"/>
      </w:pPr>
      <w:r>
        <w:rPr>
          <w:color w:val="1A1A1A"/>
        </w:rPr>
        <w:t>Nine Excel workbooks containing unit-level responses were systematically analyzed. Requirements were synthesized by identifying recurring themes, explicit asks, described pain points, compliance constraints, and expressed migration concerns. Requirements were then classified into the three tiers based on the following criteria:</w:t>
      </w:r>
    </w:p>
    <w:p w14:paraId="47DDEF50" w14:textId="77777777" w:rsidR="004E2E2D" w:rsidRDefault="004E2E2D">
      <w:pPr>
        <w:spacing w:after="60"/>
      </w:pPr>
    </w:p>
    <w:p w14:paraId="28329B11" w14:textId="77777777" w:rsidR="004E2E2D" w:rsidRDefault="00000000">
      <w:pPr>
        <w:pStyle w:val="ListParagraph"/>
        <w:numPr>
          <w:ilvl w:val="0"/>
          <w:numId w:val="2"/>
        </w:numPr>
        <w:spacing w:after="100"/>
        <w:ind w:left="360"/>
      </w:pPr>
      <w:r>
        <w:rPr>
          <w:color w:val="1A1A1A"/>
        </w:rPr>
        <w:t>Must-Have: Cited as blocking, compliance-mandated, or operationally critical by one or more units; or represents a dependency whose absence would cause immediate service disruption.</w:t>
      </w:r>
    </w:p>
    <w:p w14:paraId="3873AE32" w14:textId="77777777" w:rsidR="004E2E2D" w:rsidRDefault="00000000">
      <w:pPr>
        <w:pStyle w:val="ListParagraph"/>
        <w:numPr>
          <w:ilvl w:val="0"/>
          <w:numId w:val="2"/>
        </w:numPr>
        <w:spacing w:after="100"/>
        <w:ind w:left="360"/>
      </w:pPr>
      <w:r>
        <w:rPr>
          <w:color w:val="1A1A1A"/>
        </w:rPr>
        <w:t>Nice-to-Have: Explicitly requested or would demonstrably improve operations, but the absence of the capability would not prevent a successful migration.</w:t>
      </w:r>
    </w:p>
    <w:p w14:paraId="48EE97E5" w14:textId="77777777" w:rsidR="004E2E2D" w:rsidRDefault="00000000">
      <w:pPr>
        <w:pStyle w:val="ListParagraph"/>
        <w:numPr>
          <w:ilvl w:val="0"/>
          <w:numId w:val="2"/>
        </w:numPr>
        <w:spacing w:after="100"/>
        <w:ind w:left="360"/>
      </w:pPr>
      <w:r>
        <w:rPr>
          <w:color w:val="1A1A1A"/>
        </w:rPr>
        <w:t>Don’t Yet Exist: Represents a net-new capability gap with no current analog in the environment; requires new investment beyond the core migration scope.</w:t>
      </w:r>
    </w:p>
    <w:p w14:paraId="0445FCF8" w14:textId="77777777" w:rsidR="004E2E2D" w:rsidRDefault="004E2E2D">
      <w:pPr>
        <w:spacing w:after="80"/>
      </w:pPr>
    </w:p>
    <w:p w14:paraId="0C06623B" w14:textId="6A36D63B" w:rsidR="00446801" w:rsidRDefault="00446801">
      <w:r>
        <w:br w:type="page"/>
      </w:r>
    </w:p>
    <w:p w14:paraId="3C4BC254" w14:textId="23244E4C" w:rsidR="00D820FB" w:rsidRPr="006A6291" w:rsidRDefault="003738C1" w:rsidP="006A6291">
      <w:pPr>
        <w:pStyle w:val="Heading2"/>
        <w:rPr>
          <w:color w:val="FFFFFF" w:themeColor="background1"/>
          <w:kern w:val="2"/>
          <w14:ligatures w14:val="standardContextual"/>
        </w:rPr>
      </w:pPr>
      <w:r>
        <w:rPr>
          <w:color w:val="FFFFFF" w:themeColor="background1"/>
        </w:rPr>
        <w:lastRenderedPageBreak/>
        <w:t>SECTION 2.1: MUST-HAVE REQUIREMENTS</w:t>
      </w:r>
    </w:p>
    <w:tbl>
      <w:tblPr>
        <w:tblW w:w="9360" w:type="dxa"/>
        <w:tblCellMar>
          <w:left w:w="10" w:type="dxa"/>
          <w:right w:w="10" w:type="dxa"/>
        </w:tblCellMar>
        <w:tblLook w:val="04A0" w:firstRow="1" w:lastRow="0" w:firstColumn="1" w:lastColumn="0" w:noHBand="0" w:noVBand="1"/>
      </w:tblPr>
      <w:tblGrid>
        <w:gridCol w:w="9360"/>
      </w:tblGrid>
      <w:tr w:rsidR="00D820FB" w14:paraId="15058D70" w14:textId="77777777" w:rsidTr="00D820FB">
        <w:tc>
          <w:tcPr>
            <w:tcW w:w="9360" w:type="dxa"/>
            <w:tcBorders>
              <w:bottom w:val="single" w:sz="4" w:space="0" w:color="FFFFFF"/>
            </w:tcBorders>
            <w:shd w:val="clear" w:color="auto" w:fill="1B4332"/>
            <w:tcMar>
              <w:top w:w="180" w:type="dxa"/>
              <w:left w:w="360" w:type="dxa"/>
              <w:bottom w:w="180" w:type="dxa"/>
              <w:right w:w="360" w:type="dxa"/>
            </w:tcMar>
          </w:tcPr>
          <w:p w14:paraId="19DB818C" w14:textId="664E2EC5" w:rsidR="00D820FB" w:rsidRDefault="00D820FB" w:rsidP="002813E2">
            <w:pPr>
              <w:pStyle w:val="Heading2"/>
              <w:rPr>
                <w:color w:val="D1FAE5"/>
              </w:rPr>
            </w:pPr>
            <w:r>
              <w:rPr>
                <w:color w:val="FFFFFF" w:themeColor="background1"/>
              </w:rPr>
              <w:t>SECTION 2.1: MUST-HAVE REQUIREMENTS</w:t>
            </w:r>
          </w:p>
        </w:tc>
      </w:tr>
      <w:tr w:rsidR="00D820FB" w14:paraId="21EB0657" w14:textId="77777777" w:rsidTr="006A6291">
        <w:tc>
          <w:tcPr>
            <w:tcW w:w="9360" w:type="dxa"/>
            <w:tcBorders>
              <w:top w:val="single" w:sz="4" w:space="0" w:color="FFFFFF"/>
            </w:tcBorders>
            <w:shd w:val="clear" w:color="auto" w:fill="1B4332"/>
            <w:tcMar>
              <w:top w:w="180" w:type="dxa"/>
              <w:left w:w="360" w:type="dxa"/>
              <w:bottom w:w="180" w:type="dxa"/>
              <w:right w:w="360" w:type="dxa"/>
            </w:tcMar>
          </w:tcPr>
          <w:p w14:paraId="110FB04C" w14:textId="6255955A" w:rsidR="00D820FB" w:rsidRPr="00A61ED9" w:rsidRDefault="00D820FB" w:rsidP="002813E2">
            <w:pPr>
              <w:rPr>
                <w:b/>
                <w:bCs/>
              </w:rPr>
            </w:pPr>
            <w:r>
              <w:rPr>
                <w:b/>
                <w:bCs/>
                <w:color w:val="FFFFFF" w:themeColor="background1"/>
              </w:rPr>
              <w:t>20 requirements  |  Migration acceptance criteria  |  Phase 1 — Pre-Cutover</w:t>
            </w:r>
          </w:p>
        </w:tc>
      </w:tr>
    </w:tbl>
    <w:p w14:paraId="3F374503" w14:textId="77777777" w:rsidR="00D820FB" w:rsidRDefault="00D820FB">
      <w:pPr>
        <w:spacing w:after="140"/>
        <w:rPr>
          <w:color w:val="1A1A1A"/>
        </w:rPr>
      </w:pPr>
    </w:p>
    <w:p w14:paraId="246EB892" w14:textId="465F6858" w:rsidR="004E2E2D" w:rsidRDefault="00000000">
      <w:pPr>
        <w:spacing w:after="140"/>
      </w:pPr>
      <w:r>
        <w:rPr>
          <w:color w:val="1A1A1A"/>
        </w:rPr>
        <w:t>The following requirements are non-negotiable. They must be satisfied before any unit is cut over to Entra in production. They collectively represent the acceptance criteria for the migration program. All 20 are either blocking technical dependencies, compliance obligations, or capabilities whose absence would cause immediate and measurable operational harm.</w:t>
      </w:r>
    </w:p>
    <w:p w14:paraId="362F2D70" w14:textId="77777777" w:rsidR="00A415C0" w:rsidRDefault="00A415C0" w:rsidP="00A415C0">
      <w:pPr>
        <w:pStyle w:val="Heading2"/>
        <w:pageBreakBefore/>
        <w:pBdr>
          <w:top w:val="single" w:sz="1" w:space="18" w:color="FFFFFF"/>
        </w:pBdr>
        <w:rPr>
          <w:kern w:val="2"/>
          <w14:ligatures w14:val="standardContextual"/>
        </w:rPr>
      </w:pPr>
      <w:r>
        <w:rPr>
          <w:color w:val="10542B"/>
        </w:rPr>
        <w:lastRenderedPageBreak/>
        <w:t>2.1.1   Identity Lifecycle Management</w:t>
      </w:r>
    </w:p>
    <w:p w14:paraId="55A50A87" w14:textId="77777777" w:rsidR="004E2E2D" w:rsidRDefault="00000000">
      <w:pPr>
        <w:spacing w:after="140"/>
      </w:pPr>
      <w:r>
        <w:rPr>
          <w:color w:val="404040"/>
        </w:rPr>
        <w:t>These seven requirements address how identities are created, updated, and removed across the full employee and student lifecycle. They surfaced as the most consistently cited pain point category across business and technical units alike.</w:t>
      </w:r>
    </w:p>
    <w:p w14:paraId="3791C80B" w14:textId="77777777" w:rsidR="004E2E2D" w:rsidRDefault="004E2E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tblBorders>
        <w:tblCellMar>
          <w:left w:w="10" w:type="dxa"/>
          <w:right w:w="10" w:type="dxa"/>
        </w:tblCellMar>
        <w:tblLook w:val="04A0" w:firstRow="1" w:lastRow="0" w:firstColumn="1" w:lastColumn="0" w:noHBand="0" w:noVBand="1"/>
      </w:tblPr>
      <w:tblGrid>
        <w:gridCol w:w="760"/>
        <w:gridCol w:w="2760"/>
        <w:gridCol w:w="3640"/>
        <w:gridCol w:w="2200"/>
      </w:tblGrid>
      <w:tr w:rsidR="004E2E2D" w14:paraId="2132E997" w14:textId="77777777">
        <w:trPr>
          <w:tblHeader/>
        </w:trPr>
        <w:tc>
          <w:tcPr>
            <w:tcW w:w="76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6EB41028" w14:textId="77777777" w:rsidR="004E2E2D" w:rsidRDefault="00000000">
            <w:r>
              <w:rPr>
                <w:b/>
                <w:bCs/>
                <w:color w:val="FFFFFF"/>
                <w:sz w:val="18"/>
                <w:szCs w:val="18"/>
              </w:rPr>
              <w:t>ID</w:t>
            </w:r>
          </w:p>
        </w:tc>
        <w:tc>
          <w:tcPr>
            <w:tcW w:w="276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0CDCB749" w14:textId="77777777" w:rsidR="004E2E2D" w:rsidRDefault="00000000">
            <w:r>
              <w:rPr>
                <w:b/>
                <w:bCs/>
                <w:color w:val="FFFFFF"/>
                <w:sz w:val="18"/>
                <w:szCs w:val="18"/>
              </w:rPr>
              <w:t>Requirement</w:t>
            </w:r>
          </w:p>
        </w:tc>
        <w:tc>
          <w:tcPr>
            <w:tcW w:w="364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0A701C9A" w14:textId="77777777" w:rsidR="004E2E2D" w:rsidRDefault="00000000">
            <w:r>
              <w:rPr>
                <w:b/>
                <w:bCs/>
                <w:color w:val="FFFFFF"/>
                <w:sz w:val="18"/>
                <w:szCs w:val="18"/>
              </w:rPr>
              <w:t>Detail &amp; Evidence</w:t>
            </w:r>
          </w:p>
        </w:tc>
        <w:tc>
          <w:tcPr>
            <w:tcW w:w="220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0A05F273" w14:textId="77777777" w:rsidR="004E2E2D" w:rsidRDefault="00000000">
            <w:r>
              <w:rPr>
                <w:b/>
                <w:bCs/>
                <w:color w:val="FFFFFF"/>
                <w:sz w:val="18"/>
                <w:szCs w:val="18"/>
              </w:rPr>
              <w:t>Stakeholders</w:t>
            </w:r>
          </w:p>
        </w:tc>
      </w:tr>
      <w:tr w:rsidR="004E2E2D" w14:paraId="433DCBC9" w14:textId="77777777">
        <w:tc>
          <w:tcPr>
            <w:tcW w:w="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39380818" w14:textId="77777777" w:rsidR="004E2E2D" w:rsidRDefault="00000000">
            <w:r>
              <w:rPr>
                <w:b/>
                <w:bCs/>
                <w:color w:val="1B4332"/>
                <w:sz w:val="18"/>
                <w:szCs w:val="18"/>
              </w:rPr>
              <w:t>MH-01</w:t>
            </w:r>
          </w:p>
        </w:tc>
        <w:tc>
          <w:tcPr>
            <w:tcW w:w="2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359B4A13" w14:textId="77777777" w:rsidR="004E2E2D" w:rsidRDefault="00000000">
            <w:r>
              <w:rPr>
                <w:b/>
                <w:bCs/>
                <w:color w:val="1A1A1A"/>
                <w:sz w:val="18"/>
                <w:szCs w:val="18"/>
              </w:rPr>
              <w:t>Day-One Access for New Hires</w:t>
            </w:r>
          </w:p>
        </w:tc>
        <w:tc>
          <w:tcPr>
            <w:tcW w:w="364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21758E13" w14:textId="77777777" w:rsidR="004E2E2D" w:rsidRDefault="00000000">
            <w:r>
              <w:rPr>
                <w:color w:val="404040"/>
                <w:sz w:val="17"/>
                <w:szCs w:val="17"/>
              </w:rPr>
              <w:t>Business Offices report up to two-week delays due to EPAR processing and approval chains. Access provisioning must be triggered automatically upon HR clearance, with no manual hand-off required.</w:t>
            </w:r>
          </w:p>
        </w:tc>
        <w:tc>
          <w:tcPr>
            <w:tcW w:w="22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35D83A35" w14:textId="77777777" w:rsidR="004E2E2D" w:rsidRDefault="00000000">
            <w:r>
              <w:rPr>
                <w:i/>
                <w:iCs/>
                <w:color w:val="6B6B6B"/>
                <w:sz w:val="17"/>
                <w:szCs w:val="17"/>
              </w:rPr>
              <w:t>Talent Acquisition, Academic Advising, ERP Security</w:t>
            </w:r>
          </w:p>
        </w:tc>
      </w:tr>
      <w:tr w:rsidR="004E2E2D" w14:paraId="1608E4D7" w14:textId="77777777">
        <w:tc>
          <w:tcPr>
            <w:tcW w:w="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34BFB144" w14:textId="77777777" w:rsidR="004E2E2D" w:rsidRDefault="00000000">
            <w:r>
              <w:rPr>
                <w:b/>
                <w:bCs/>
                <w:color w:val="1B4332"/>
                <w:sz w:val="18"/>
                <w:szCs w:val="18"/>
              </w:rPr>
              <w:t>MH-02</w:t>
            </w:r>
          </w:p>
        </w:tc>
        <w:tc>
          <w:tcPr>
            <w:tcW w:w="2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39004FFA" w14:textId="77777777" w:rsidR="004E2E2D" w:rsidRDefault="00000000">
            <w:r>
              <w:rPr>
                <w:b/>
                <w:bCs/>
                <w:color w:val="1A1A1A"/>
                <w:sz w:val="18"/>
                <w:szCs w:val="18"/>
              </w:rPr>
              <w:t>Automated Deprovisioning on Separation</w:t>
            </w:r>
          </w:p>
        </w:tc>
        <w:tc>
          <w:tcPr>
            <w:tcW w:w="364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5C08EE3A" w14:textId="77777777" w:rsidR="004E2E2D" w:rsidRDefault="00000000">
            <w:r>
              <w:rPr>
                <w:color w:val="404040"/>
                <w:sz w:val="17"/>
                <w:szCs w:val="17"/>
              </w:rPr>
              <w:t>Employee and student separation must trigger automatic, auditable access revocation across all integrated systems. HR termination records must drive deprovisioning without manual intervention.</w:t>
            </w:r>
          </w:p>
        </w:tc>
        <w:tc>
          <w:tcPr>
            <w:tcW w:w="22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5DA8210D" w14:textId="77777777" w:rsidR="004E2E2D" w:rsidRDefault="00000000">
            <w:r>
              <w:rPr>
                <w:i/>
                <w:iCs/>
                <w:color w:val="6B6B6B"/>
                <w:sz w:val="17"/>
                <w:szCs w:val="17"/>
              </w:rPr>
              <w:t>AITS, Operations, ERP Security, Security Ops</w:t>
            </w:r>
          </w:p>
        </w:tc>
      </w:tr>
      <w:tr w:rsidR="004E2E2D" w14:paraId="2711DB27" w14:textId="77777777">
        <w:tc>
          <w:tcPr>
            <w:tcW w:w="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6E3FBBE8" w14:textId="77777777" w:rsidR="004E2E2D" w:rsidRDefault="00000000">
            <w:r>
              <w:rPr>
                <w:b/>
                <w:bCs/>
                <w:color w:val="1B4332"/>
                <w:sz w:val="18"/>
                <w:szCs w:val="18"/>
              </w:rPr>
              <w:t>MH-03</w:t>
            </w:r>
          </w:p>
        </w:tc>
        <w:tc>
          <w:tcPr>
            <w:tcW w:w="2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1E18AF24" w14:textId="77777777" w:rsidR="004E2E2D" w:rsidRDefault="00000000">
            <w:r>
              <w:rPr>
                <w:b/>
                <w:bCs/>
                <w:color w:val="1A1A1A"/>
                <w:sz w:val="18"/>
                <w:szCs w:val="18"/>
              </w:rPr>
              <w:t>Duplicate Identity Deduplication</w:t>
            </w:r>
          </w:p>
        </w:tc>
        <w:tc>
          <w:tcPr>
            <w:tcW w:w="364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3403B54C" w14:textId="77777777" w:rsidR="004E2E2D" w:rsidRDefault="00000000">
            <w:r>
              <w:rPr>
                <w:color w:val="404040"/>
                <w:sz w:val="17"/>
                <w:szCs w:val="17"/>
              </w:rPr>
              <w:t>Individuals with both student and employee roles must have a single coherent identity. Duplicate credentials break email routing, access decisions, and audit trails. Deduplication logic must be embedded in provisioning workflows.</w:t>
            </w:r>
          </w:p>
        </w:tc>
        <w:tc>
          <w:tcPr>
            <w:tcW w:w="22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0D4EE773" w14:textId="77777777" w:rsidR="004E2E2D" w:rsidRDefault="00000000">
            <w:r>
              <w:rPr>
                <w:i/>
                <w:iCs/>
                <w:color w:val="6B6B6B"/>
                <w:sz w:val="17"/>
                <w:szCs w:val="17"/>
              </w:rPr>
              <w:t>ERP Security, Operations, CS AD-SF, ServiceNow</w:t>
            </w:r>
          </w:p>
        </w:tc>
      </w:tr>
      <w:tr w:rsidR="004E2E2D" w14:paraId="516D2BD1" w14:textId="77777777">
        <w:tc>
          <w:tcPr>
            <w:tcW w:w="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73113FBB" w14:textId="77777777" w:rsidR="004E2E2D" w:rsidRDefault="00000000">
            <w:r>
              <w:rPr>
                <w:b/>
                <w:bCs/>
                <w:color w:val="1B4332"/>
                <w:sz w:val="18"/>
                <w:szCs w:val="18"/>
              </w:rPr>
              <w:t>MH-04</w:t>
            </w:r>
          </w:p>
        </w:tc>
        <w:tc>
          <w:tcPr>
            <w:tcW w:w="2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77C6DD98" w14:textId="77777777" w:rsidR="004E2E2D" w:rsidRDefault="00000000">
            <w:r>
              <w:rPr>
                <w:b/>
                <w:bCs/>
                <w:color w:val="1A1A1A"/>
                <w:sz w:val="18"/>
                <w:szCs w:val="18"/>
              </w:rPr>
              <w:t>Preferred Email &amp; Name Propagation</w:t>
            </w:r>
          </w:p>
        </w:tc>
        <w:tc>
          <w:tcPr>
            <w:tcW w:w="364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23300961" w14:textId="77777777" w:rsidR="004E2E2D" w:rsidRDefault="00000000">
            <w:r>
              <w:rPr>
                <w:color w:val="404040"/>
                <w:sz w:val="17"/>
                <w:szCs w:val="17"/>
              </w:rPr>
              <w:t>A canonical preferred email and preferred name must be set and consistently propagated across all applications. Name changes (e.g., following marriage or divorce) must update across all systems without manual intervention.</w:t>
            </w:r>
          </w:p>
        </w:tc>
        <w:tc>
          <w:tcPr>
            <w:tcW w:w="22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04E49D24" w14:textId="77777777" w:rsidR="004E2E2D" w:rsidRDefault="00000000">
            <w:r>
              <w:rPr>
                <w:i/>
                <w:iCs/>
                <w:color w:val="6B6B6B"/>
                <w:sz w:val="17"/>
                <w:szCs w:val="17"/>
              </w:rPr>
              <w:t>Business Offices, Operations, Academic Advising, CS AD-SF</w:t>
            </w:r>
          </w:p>
        </w:tc>
      </w:tr>
      <w:tr w:rsidR="004E2E2D" w14:paraId="7F461BA5" w14:textId="77777777">
        <w:tc>
          <w:tcPr>
            <w:tcW w:w="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6436E48A" w14:textId="77777777" w:rsidR="004E2E2D" w:rsidRDefault="00000000">
            <w:r>
              <w:rPr>
                <w:b/>
                <w:bCs/>
                <w:color w:val="1B4332"/>
                <w:sz w:val="18"/>
                <w:szCs w:val="18"/>
              </w:rPr>
              <w:t>MH-05</w:t>
            </w:r>
          </w:p>
        </w:tc>
        <w:tc>
          <w:tcPr>
            <w:tcW w:w="2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28EA6663" w14:textId="77777777" w:rsidR="004E2E2D" w:rsidRDefault="00000000">
            <w:r>
              <w:rPr>
                <w:b/>
                <w:bCs/>
                <w:color w:val="1A1A1A"/>
                <w:sz w:val="18"/>
                <w:szCs w:val="18"/>
              </w:rPr>
              <w:t>LDAP Continuity Until Dependencies Are Remediated</w:t>
            </w:r>
          </w:p>
        </w:tc>
        <w:tc>
          <w:tcPr>
            <w:tcW w:w="364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4366BF27" w14:textId="77777777" w:rsidR="004E2E2D" w:rsidRDefault="00000000">
            <w:r>
              <w:rPr>
                <w:color w:val="404040"/>
                <w:sz w:val="17"/>
                <w:szCs w:val="17"/>
              </w:rPr>
              <w:t>No LDAP-dependent system may be cut over without a validated replacement. Critical dependencies include Bulkmail, Check-In, License Portal, Perceptive Content, PeopleSoft, and custom scripts. LDAP must not be deprecated until all dependencies are resolved.</w:t>
            </w:r>
          </w:p>
        </w:tc>
        <w:tc>
          <w:tcPr>
            <w:tcW w:w="22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57C0172E" w14:textId="77777777" w:rsidR="004E2E2D" w:rsidRDefault="00000000">
            <w:r>
              <w:rPr>
                <w:i/>
                <w:iCs/>
                <w:color w:val="6B6B6B"/>
                <w:sz w:val="17"/>
                <w:szCs w:val="17"/>
              </w:rPr>
              <w:t>AITS, Imaging, ERP Applications, ERP Security</w:t>
            </w:r>
          </w:p>
        </w:tc>
      </w:tr>
      <w:tr w:rsidR="004E2E2D" w14:paraId="48A31A53" w14:textId="77777777">
        <w:tc>
          <w:tcPr>
            <w:tcW w:w="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3F9F8446" w14:textId="77777777" w:rsidR="004E2E2D" w:rsidRDefault="00000000">
            <w:r>
              <w:rPr>
                <w:b/>
                <w:bCs/>
                <w:color w:val="1B4332"/>
                <w:sz w:val="18"/>
                <w:szCs w:val="18"/>
              </w:rPr>
              <w:t>MH-06</w:t>
            </w:r>
          </w:p>
        </w:tc>
        <w:tc>
          <w:tcPr>
            <w:tcW w:w="2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65A24AAB" w14:textId="77777777" w:rsidR="004E2E2D" w:rsidRDefault="00000000">
            <w:r>
              <w:rPr>
                <w:b/>
                <w:bCs/>
                <w:color w:val="1A1A1A"/>
                <w:sz w:val="18"/>
                <w:szCs w:val="18"/>
              </w:rPr>
              <w:t>Cross-Domain Authentication Preservation</w:t>
            </w:r>
          </w:p>
        </w:tc>
        <w:tc>
          <w:tcPr>
            <w:tcW w:w="364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1E1768C6" w14:textId="77777777" w:rsidR="004E2E2D" w:rsidRDefault="00000000">
            <w:r>
              <w:rPr>
                <w:color w:val="404040"/>
                <w:sz w:val="17"/>
                <w:szCs w:val="17"/>
              </w:rPr>
              <w:t>Users across multiple AD domains (UNT, Students, HSC/UNT Health, ITS, UNT Dallas) must authenticate seamlessly. Infoblox, Perceptive Content, eduroam, and file storage rely on cross-domain access. All existing trust and federation configurations must be preserved or replaced.</w:t>
            </w:r>
          </w:p>
        </w:tc>
        <w:tc>
          <w:tcPr>
            <w:tcW w:w="22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031B47EE" w14:textId="77777777" w:rsidR="004E2E2D" w:rsidRDefault="00000000">
            <w:r>
              <w:rPr>
                <w:i/>
                <w:iCs/>
                <w:color w:val="6B6B6B"/>
                <w:sz w:val="17"/>
                <w:szCs w:val="17"/>
              </w:rPr>
              <w:t>Datacomm, Imaging, ERP Applications, AITS</w:t>
            </w:r>
          </w:p>
        </w:tc>
      </w:tr>
      <w:tr w:rsidR="004E2E2D" w14:paraId="003852B1" w14:textId="77777777">
        <w:tc>
          <w:tcPr>
            <w:tcW w:w="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3435CA15" w14:textId="77777777" w:rsidR="004E2E2D" w:rsidRDefault="00000000">
            <w:r>
              <w:rPr>
                <w:b/>
                <w:bCs/>
                <w:color w:val="1B4332"/>
                <w:sz w:val="18"/>
                <w:szCs w:val="18"/>
              </w:rPr>
              <w:t>MH-07</w:t>
            </w:r>
          </w:p>
        </w:tc>
        <w:tc>
          <w:tcPr>
            <w:tcW w:w="2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0E964FA3" w14:textId="77777777" w:rsidR="004E2E2D" w:rsidRDefault="00000000">
            <w:r>
              <w:rPr>
                <w:b/>
                <w:bCs/>
                <w:color w:val="1A1A1A"/>
                <w:sz w:val="18"/>
                <w:szCs w:val="18"/>
              </w:rPr>
              <w:t>Complete Identity Attribute Migration</w:t>
            </w:r>
          </w:p>
        </w:tc>
        <w:tc>
          <w:tcPr>
            <w:tcW w:w="364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3779E90C" w14:textId="77777777" w:rsidR="004E2E2D" w:rsidRDefault="00000000">
            <w:r>
              <w:rPr>
                <w:color w:val="404040"/>
                <w:sz w:val="17"/>
                <w:szCs w:val="17"/>
              </w:rPr>
              <w:t>All IDTree attributes must migrate intact: EUID, UPN, preferred email, preferred name, EmplID, AD groups, Entra groups, IDTree roles, edupersonAffiliation, edupersonEntitlement, LastTermEnrolled, and isRetiree. No attribute loss is acceptable.</w:t>
            </w:r>
          </w:p>
        </w:tc>
        <w:tc>
          <w:tcPr>
            <w:tcW w:w="22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5AEE3A1D" w14:textId="77777777" w:rsidR="004E2E2D" w:rsidRDefault="00000000">
            <w:r>
              <w:rPr>
                <w:i/>
                <w:iCs/>
                <w:color w:val="6B6B6B"/>
                <w:sz w:val="17"/>
                <w:szCs w:val="17"/>
              </w:rPr>
              <w:t>Academic Tech, AITS, CS SR-FA, Operations</w:t>
            </w:r>
          </w:p>
        </w:tc>
      </w:tr>
    </w:tbl>
    <w:p w14:paraId="0BC8EFD9" w14:textId="77777777" w:rsidR="004E2E2D" w:rsidRDefault="004E2E2D">
      <w:pPr>
        <w:spacing w:after="200"/>
      </w:pPr>
    </w:p>
    <w:p w14:paraId="66F028D9" w14:textId="77777777" w:rsidR="00A415C0" w:rsidRDefault="00A415C0" w:rsidP="00A415C0">
      <w:pPr>
        <w:pStyle w:val="Heading2"/>
        <w:pageBreakBefore/>
        <w:pBdr>
          <w:top w:val="single" w:sz="1" w:space="18" w:color="FFFFFF"/>
        </w:pBdr>
        <w:rPr>
          <w:kern w:val="2"/>
          <w14:ligatures w14:val="standardContextual"/>
        </w:rPr>
      </w:pPr>
      <w:r>
        <w:rPr>
          <w:color w:val="10542B"/>
        </w:rPr>
        <w:lastRenderedPageBreak/>
        <w:t>2.1.2   Authentication &amp; Protocol Requirements</w:t>
      </w:r>
    </w:p>
    <w:p w14:paraId="1DC17695" w14:textId="77777777" w:rsidR="004E2E2D" w:rsidRDefault="00000000">
      <w:pPr>
        <w:spacing w:after="140"/>
      </w:pPr>
      <w:r>
        <w:rPr>
          <w:color w:val="404040"/>
        </w:rPr>
        <w:t>These requirements govern the authentication methods and protocols that must remain available after migration. Legacy network infrastructure and gaps in current MFA coverage make these non-negotiable.</w:t>
      </w:r>
    </w:p>
    <w:p w14:paraId="21EEFBB6" w14:textId="77777777" w:rsidR="004E2E2D" w:rsidRDefault="004E2E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tblBorders>
        <w:tblCellMar>
          <w:left w:w="10" w:type="dxa"/>
          <w:right w:w="10" w:type="dxa"/>
        </w:tblCellMar>
        <w:tblLook w:val="04A0" w:firstRow="1" w:lastRow="0" w:firstColumn="1" w:lastColumn="0" w:noHBand="0" w:noVBand="1"/>
      </w:tblPr>
      <w:tblGrid>
        <w:gridCol w:w="760"/>
        <w:gridCol w:w="2760"/>
        <w:gridCol w:w="3640"/>
        <w:gridCol w:w="2200"/>
      </w:tblGrid>
      <w:tr w:rsidR="004E2E2D" w14:paraId="1055730E" w14:textId="77777777">
        <w:trPr>
          <w:tblHeader/>
        </w:trPr>
        <w:tc>
          <w:tcPr>
            <w:tcW w:w="76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683B36D4" w14:textId="77777777" w:rsidR="004E2E2D" w:rsidRDefault="00000000">
            <w:r>
              <w:rPr>
                <w:b/>
                <w:bCs/>
                <w:color w:val="FFFFFF"/>
                <w:sz w:val="18"/>
                <w:szCs w:val="18"/>
              </w:rPr>
              <w:t>ID</w:t>
            </w:r>
          </w:p>
        </w:tc>
        <w:tc>
          <w:tcPr>
            <w:tcW w:w="276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42B34852" w14:textId="77777777" w:rsidR="004E2E2D" w:rsidRDefault="00000000">
            <w:r>
              <w:rPr>
                <w:b/>
                <w:bCs/>
                <w:color w:val="FFFFFF"/>
                <w:sz w:val="18"/>
                <w:szCs w:val="18"/>
              </w:rPr>
              <w:t>Requirement</w:t>
            </w:r>
          </w:p>
        </w:tc>
        <w:tc>
          <w:tcPr>
            <w:tcW w:w="364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72EA3B71" w14:textId="77777777" w:rsidR="004E2E2D" w:rsidRDefault="00000000">
            <w:r>
              <w:rPr>
                <w:b/>
                <w:bCs/>
                <w:color w:val="FFFFFF"/>
                <w:sz w:val="18"/>
                <w:szCs w:val="18"/>
              </w:rPr>
              <w:t>Detail &amp; Evidence</w:t>
            </w:r>
          </w:p>
        </w:tc>
        <w:tc>
          <w:tcPr>
            <w:tcW w:w="220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1EF74D19" w14:textId="77777777" w:rsidR="004E2E2D" w:rsidRDefault="00000000">
            <w:r>
              <w:rPr>
                <w:b/>
                <w:bCs/>
                <w:color w:val="FFFFFF"/>
                <w:sz w:val="18"/>
                <w:szCs w:val="18"/>
              </w:rPr>
              <w:t>Stakeholders</w:t>
            </w:r>
          </w:p>
        </w:tc>
      </w:tr>
      <w:tr w:rsidR="004E2E2D" w14:paraId="6991AF09" w14:textId="77777777">
        <w:tc>
          <w:tcPr>
            <w:tcW w:w="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392B91B0" w14:textId="77777777" w:rsidR="004E2E2D" w:rsidRDefault="00000000">
            <w:r>
              <w:rPr>
                <w:b/>
                <w:bCs/>
                <w:color w:val="1B4332"/>
                <w:sz w:val="18"/>
                <w:szCs w:val="18"/>
              </w:rPr>
              <w:t>MH-08</w:t>
            </w:r>
          </w:p>
        </w:tc>
        <w:tc>
          <w:tcPr>
            <w:tcW w:w="2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5780F037" w14:textId="77777777" w:rsidR="004E2E2D" w:rsidRDefault="00000000">
            <w:r>
              <w:rPr>
                <w:b/>
                <w:bCs/>
                <w:color w:val="1A1A1A"/>
                <w:sz w:val="18"/>
                <w:szCs w:val="18"/>
              </w:rPr>
              <w:t>RADIUS &amp; TACACS for Network Infrastructure</w:t>
            </w:r>
          </w:p>
        </w:tc>
        <w:tc>
          <w:tcPr>
            <w:tcW w:w="364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088C61AC" w14:textId="77777777" w:rsidR="004E2E2D" w:rsidRDefault="00000000">
            <w:r>
              <w:rPr>
                <w:color w:val="404040"/>
                <w:sz w:val="17"/>
                <w:szCs w:val="17"/>
              </w:rPr>
              <w:t>Network equipment (Cisco, Juniper, Palo Alto, ClearPass, Infoblox, VPN, wireless) cannot support SAML. Authentication for these systems must continue via RADIUS and TACACS post-migration. The Entra migration must not break network equipment authentication.</w:t>
            </w:r>
          </w:p>
        </w:tc>
        <w:tc>
          <w:tcPr>
            <w:tcW w:w="22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0C8BC859" w14:textId="77777777" w:rsidR="004E2E2D" w:rsidRDefault="00000000">
            <w:r>
              <w:rPr>
                <w:i/>
                <w:iCs/>
                <w:color w:val="6B6B6B"/>
                <w:sz w:val="17"/>
                <w:szCs w:val="17"/>
              </w:rPr>
              <w:t>Datacomm</w:t>
            </w:r>
          </w:p>
        </w:tc>
      </w:tr>
      <w:tr w:rsidR="004E2E2D" w14:paraId="0ABBEA1C" w14:textId="77777777">
        <w:tc>
          <w:tcPr>
            <w:tcW w:w="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14F4C8A9" w14:textId="77777777" w:rsidR="004E2E2D" w:rsidRDefault="00000000">
            <w:r>
              <w:rPr>
                <w:b/>
                <w:bCs/>
                <w:color w:val="1B4332"/>
                <w:sz w:val="18"/>
                <w:szCs w:val="18"/>
              </w:rPr>
              <w:t>MH-09</w:t>
            </w:r>
          </w:p>
        </w:tc>
        <w:tc>
          <w:tcPr>
            <w:tcW w:w="2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0DC2AD73" w14:textId="77777777" w:rsidR="004E2E2D" w:rsidRDefault="00000000">
            <w:r>
              <w:rPr>
                <w:b/>
                <w:bCs/>
                <w:color w:val="1A1A1A"/>
                <w:sz w:val="18"/>
                <w:szCs w:val="18"/>
              </w:rPr>
              <w:t>MFA Enforcement Across All Capable Systems</w:t>
            </w:r>
          </w:p>
        </w:tc>
        <w:tc>
          <w:tcPr>
            <w:tcW w:w="364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0084D525" w14:textId="77777777" w:rsidR="004E2E2D" w:rsidRDefault="00000000">
            <w:r>
              <w:rPr>
                <w:color w:val="404040"/>
                <w:sz w:val="17"/>
                <w:szCs w:val="17"/>
              </w:rPr>
              <w:t>MFA must be enforced on all capable systems. Currently not fully implemented for PeopleSoft CS or the applicant population. Migration must not reduce existing MFA coverage and must close identified gaps.</w:t>
            </w:r>
          </w:p>
        </w:tc>
        <w:tc>
          <w:tcPr>
            <w:tcW w:w="22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02F1A10C" w14:textId="77777777" w:rsidR="004E2E2D" w:rsidRDefault="00000000">
            <w:r>
              <w:rPr>
                <w:i/>
                <w:iCs/>
                <w:color w:val="6B6B6B"/>
                <w:sz w:val="17"/>
                <w:szCs w:val="17"/>
              </w:rPr>
              <w:t>ERP Security, CS SR-FA, Datacomm, AITS</w:t>
            </w:r>
          </w:p>
        </w:tc>
      </w:tr>
      <w:tr w:rsidR="004E2E2D" w14:paraId="1E368A32" w14:textId="77777777">
        <w:tc>
          <w:tcPr>
            <w:tcW w:w="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6610DB3E" w14:textId="77777777" w:rsidR="004E2E2D" w:rsidRDefault="00000000">
            <w:r>
              <w:rPr>
                <w:b/>
                <w:bCs/>
                <w:color w:val="1B4332"/>
                <w:sz w:val="18"/>
                <w:szCs w:val="18"/>
              </w:rPr>
              <w:t>MH-10</w:t>
            </w:r>
          </w:p>
        </w:tc>
        <w:tc>
          <w:tcPr>
            <w:tcW w:w="2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2FB7CB63" w14:textId="77777777" w:rsidR="004E2E2D" w:rsidRDefault="00000000">
            <w:r>
              <w:rPr>
                <w:b/>
                <w:bCs/>
                <w:color w:val="1A1A1A"/>
                <w:sz w:val="18"/>
                <w:szCs w:val="18"/>
              </w:rPr>
              <w:t>SSO Continuity for All Federated Applications</w:t>
            </w:r>
          </w:p>
        </w:tc>
        <w:tc>
          <w:tcPr>
            <w:tcW w:w="364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39026AFC" w14:textId="77777777" w:rsidR="004E2E2D" w:rsidRDefault="00000000">
            <w:r>
              <w:rPr>
                <w:color w:val="404040"/>
                <w:sz w:val="17"/>
                <w:szCs w:val="17"/>
              </w:rPr>
              <w:t>All existing SSO integrations (Shibboleth, Entra SAML, OIDC, OAuth2) must continue to function. Applications include PeopleSoft, Sentinel, Phire, PageUp, ServiceNow, Synapsis, Axiom, Bridge, and others. No SSO regression is acceptable.</w:t>
            </w:r>
          </w:p>
        </w:tc>
        <w:tc>
          <w:tcPr>
            <w:tcW w:w="22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2CCF0D1B" w14:textId="77777777" w:rsidR="004E2E2D" w:rsidRDefault="00000000">
            <w:r>
              <w:rPr>
                <w:i/>
                <w:iCs/>
                <w:color w:val="6B6B6B"/>
                <w:sz w:val="17"/>
                <w:szCs w:val="17"/>
              </w:rPr>
              <w:t>AITS, ERP Security, ERP Applications, Operations</w:t>
            </w:r>
          </w:p>
        </w:tc>
      </w:tr>
      <w:tr w:rsidR="004E2E2D" w14:paraId="3835633A" w14:textId="77777777">
        <w:tc>
          <w:tcPr>
            <w:tcW w:w="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2D605B49" w14:textId="77777777" w:rsidR="004E2E2D" w:rsidRDefault="00000000">
            <w:r>
              <w:rPr>
                <w:b/>
                <w:bCs/>
                <w:color w:val="1B4332"/>
                <w:sz w:val="18"/>
                <w:szCs w:val="18"/>
              </w:rPr>
              <w:t>MH-11</w:t>
            </w:r>
          </w:p>
        </w:tc>
        <w:tc>
          <w:tcPr>
            <w:tcW w:w="2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649ABF0F" w14:textId="77777777" w:rsidR="004E2E2D" w:rsidRDefault="00000000">
            <w:r>
              <w:rPr>
                <w:b/>
                <w:bCs/>
                <w:color w:val="1A1A1A"/>
                <w:sz w:val="18"/>
                <w:szCs w:val="18"/>
              </w:rPr>
              <w:t>RBAC &amp; Group Membership Migration</w:t>
            </w:r>
          </w:p>
        </w:tc>
        <w:tc>
          <w:tcPr>
            <w:tcW w:w="364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1FA07D7D" w14:textId="77777777" w:rsidR="004E2E2D" w:rsidRDefault="00000000">
            <w:r>
              <w:rPr>
                <w:color w:val="404040"/>
                <w:sz w:val="17"/>
                <w:szCs w:val="17"/>
              </w:rPr>
              <w:t>All AD groups, Entra/Azure groups, IDTree-synced groups, and application-level RBAC definitions must migrate and continue to function. Nested group structures must be preserved where supported by the target system.</w:t>
            </w:r>
          </w:p>
        </w:tc>
        <w:tc>
          <w:tcPr>
            <w:tcW w:w="22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6AFAF27C" w14:textId="77777777" w:rsidR="004E2E2D" w:rsidRDefault="00000000">
            <w:r>
              <w:rPr>
                <w:i/>
                <w:iCs/>
                <w:color w:val="6B6B6B"/>
                <w:sz w:val="17"/>
                <w:szCs w:val="17"/>
              </w:rPr>
              <w:t>AITS, Academic Tech, ERP Security, Account Mgmt</w:t>
            </w:r>
          </w:p>
        </w:tc>
      </w:tr>
    </w:tbl>
    <w:p w14:paraId="732C7C5D" w14:textId="77777777" w:rsidR="004E2E2D" w:rsidRDefault="004E2E2D">
      <w:pPr>
        <w:spacing w:after="200"/>
      </w:pPr>
    </w:p>
    <w:p w14:paraId="4D240573" w14:textId="77777777" w:rsidR="00A415C0" w:rsidRDefault="00A415C0" w:rsidP="00A415C0">
      <w:pPr>
        <w:pStyle w:val="Heading2"/>
        <w:pageBreakBefore/>
        <w:pBdr>
          <w:top w:val="single" w:sz="1" w:space="18" w:color="FFFFFF"/>
        </w:pBdr>
        <w:rPr>
          <w:kern w:val="2"/>
          <w14:ligatures w14:val="standardContextual"/>
        </w:rPr>
      </w:pPr>
      <w:r>
        <w:rPr>
          <w:color w:val="10542B"/>
        </w:rPr>
        <w:lastRenderedPageBreak/>
        <w:t>2.1.3   System Integration &amp; Data Migration</w:t>
      </w:r>
    </w:p>
    <w:p w14:paraId="392BF5E8" w14:textId="77777777" w:rsidR="004E2E2D" w:rsidRDefault="00000000">
      <w:pPr>
        <w:spacing w:after="140"/>
      </w:pPr>
      <w:r>
        <w:rPr>
          <w:color w:val="404040"/>
        </w:rPr>
        <w:t>These requirements define the specific systems and data dependencies that must be addressed before cutover. They represent the primary technical migration risks identified in the analysis.</w:t>
      </w:r>
    </w:p>
    <w:p w14:paraId="66859E25" w14:textId="77777777" w:rsidR="004E2E2D" w:rsidRDefault="004E2E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tblBorders>
        <w:tblCellMar>
          <w:left w:w="10" w:type="dxa"/>
          <w:right w:w="10" w:type="dxa"/>
        </w:tblCellMar>
        <w:tblLook w:val="04A0" w:firstRow="1" w:lastRow="0" w:firstColumn="1" w:lastColumn="0" w:noHBand="0" w:noVBand="1"/>
      </w:tblPr>
      <w:tblGrid>
        <w:gridCol w:w="760"/>
        <w:gridCol w:w="2760"/>
        <w:gridCol w:w="3640"/>
        <w:gridCol w:w="2200"/>
      </w:tblGrid>
      <w:tr w:rsidR="004E2E2D" w14:paraId="40CBA2EC" w14:textId="77777777">
        <w:trPr>
          <w:tblHeader/>
        </w:trPr>
        <w:tc>
          <w:tcPr>
            <w:tcW w:w="76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2F10DB9E" w14:textId="77777777" w:rsidR="004E2E2D" w:rsidRDefault="00000000">
            <w:r>
              <w:rPr>
                <w:b/>
                <w:bCs/>
                <w:color w:val="FFFFFF"/>
                <w:sz w:val="18"/>
                <w:szCs w:val="18"/>
              </w:rPr>
              <w:t>ID</w:t>
            </w:r>
          </w:p>
        </w:tc>
        <w:tc>
          <w:tcPr>
            <w:tcW w:w="276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34C5FEA3" w14:textId="77777777" w:rsidR="004E2E2D" w:rsidRDefault="00000000">
            <w:r>
              <w:rPr>
                <w:b/>
                <w:bCs/>
                <w:color w:val="FFFFFF"/>
                <w:sz w:val="18"/>
                <w:szCs w:val="18"/>
              </w:rPr>
              <w:t>Requirement</w:t>
            </w:r>
          </w:p>
        </w:tc>
        <w:tc>
          <w:tcPr>
            <w:tcW w:w="364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2AC67C92" w14:textId="77777777" w:rsidR="004E2E2D" w:rsidRDefault="00000000">
            <w:r>
              <w:rPr>
                <w:b/>
                <w:bCs/>
                <w:color w:val="FFFFFF"/>
                <w:sz w:val="18"/>
                <w:szCs w:val="18"/>
              </w:rPr>
              <w:t>Detail &amp; Evidence</w:t>
            </w:r>
          </w:p>
        </w:tc>
        <w:tc>
          <w:tcPr>
            <w:tcW w:w="220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1BA5C036" w14:textId="77777777" w:rsidR="004E2E2D" w:rsidRDefault="00000000">
            <w:r>
              <w:rPr>
                <w:b/>
                <w:bCs/>
                <w:color w:val="FFFFFF"/>
                <w:sz w:val="18"/>
                <w:szCs w:val="18"/>
              </w:rPr>
              <w:t>Stakeholders</w:t>
            </w:r>
          </w:p>
        </w:tc>
      </w:tr>
      <w:tr w:rsidR="004E2E2D" w14:paraId="6548768B" w14:textId="77777777">
        <w:tc>
          <w:tcPr>
            <w:tcW w:w="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5F360043" w14:textId="77777777" w:rsidR="004E2E2D" w:rsidRDefault="00000000">
            <w:r>
              <w:rPr>
                <w:b/>
                <w:bCs/>
                <w:color w:val="1B4332"/>
                <w:sz w:val="18"/>
                <w:szCs w:val="18"/>
              </w:rPr>
              <w:t>MH-12</w:t>
            </w:r>
          </w:p>
        </w:tc>
        <w:tc>
          <w:tcPr>
            <w:tcW w:w="2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35B503F3" w14:textId="77777777" w:rsidR="004E2E2D" w:rsidRDefault="00000000">
            <w:r>
              <w:rPr>
                <w:b/>
                <w:bCs/>
                <w:color w:val="1A1A1A"/>
                <w:sz w:val="18"/>
                <w:szCs w:val="18"/>
              </w:rPr>
              <w:t>ServiceNow LDAP Integration Replacement</w:t>
            </w:r>
          </w:p>
        </w:tc>
        <w:tc>
          <w:tcPr>
            <w:tcW w:w="364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7C65538C" w14:textId="77777777" w:rsidR="004E2E2D" w:rsidRDefault="00000000">
            <w:r>
              <w:rPr>
                <w:color w:val="404040"/>
                <w:sz w:val="17"/>
                <w:szCs w:val="17"/>
              </w:rPr>
              <w:t>ServiceNow uses LDAP for user provisioning and HR attribute sync. The SNOW-LDAP integration must be replaced with an Entra-based equivalent that preserves all sourced attributes, including HR job record fields.</w:t>
            </w:r>
          </w:p>
        </w:tc>
        <w:tc>
          <w:tcPr>
            <w:tcW w:w="22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56430CA2" w14:textId="77777777" w:rsidR="004E2E2D" w:rsidRDefault="00000000">
            <w:r>
              <w:rPr>
                <w:i/>
                <w:iCs/>
                <w:color w:val="6B6B6B"/>
                <w:sz w:val="17"/>
                <w:szCs w:val="17"/>
              </w:rPr>
              <w:t>Operations, AITS</w:t>
            </w:r>
          </w:p>
        </w:tc>
      </w:tr>
      <w:tr w:rsidR="004E2E2D" w14:paraId="5D95F29D" w14:textId="77777777">
        <w:tc>
          <w:tcPr>
            <w:tcW w:w="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27F8AE94" w14:textId="77777777" w:rsidR="004E2E2D" w:rsidRDefault="00000000">
            <w:r>
              <w:rPr>
                <w:b/>
                <w:bCs/>
                <w:color w:val="1B4332"/>
                <w:sz w:val="18"/>
                <w:szCs w:val="18"/>
              </w:rPr>
              <w:t>MH-13</w:t>
            </w:r>
          </w:p>
        </w:tc>
        <w:tc>
          <w:tcPr>
            <w:tcW w:w="2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0A4E35D1" w14:textId="77777777" w:rsidR="004E2E2D" w:rsidRDefault="00000000">
            <w:r>
              <w:rPr>
                <w:b/>
                <w:bCs/>
                <w:color w:val="1A1A1A"/>
                <w:sz w:val="18"/>
                <w:szCs w:val="18"/>
              </w:rPr>
              <w:t>PeopleSoft Migration Path (ACES Assessment)</w:t>
            </w:r>
          </w:p>
        </w:tc>
        <w:tc>
          <w:tcPr>
            <w:tcW w:w="364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7573426D" w14:textId="77777777" w:rsidR="004E2E2D" w:rsidRDefault="00000000">
            <w:r>
              <w:rPr>
                <w:color w:val="404040"/>
                <w:sz w:val="17"/>
                <w:szCs w:val="17"/>
              </w:rPr>
              <w:t>PeopleSoft uses LDAP for authentication. ACES (custom 20-year-old access management code) must be assessed for Entra compatibility. A phased migration plan is required before any PeopleSoft LDAP dependency is cut over.</w:t>
            </w:r>
          </w:p>
        </w:tc>
        <w:tc>
          <w:tcPr>
            <w:tcW w:w="22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61C855F1" w14:textId="77777777" w:rsidR="004E2E2D" w:rsidRDefault="00000000">
            <w:r>
              <w:rPr>
                <w:i/>
                <w:iCs/>
                <w:color w:val="6B6B6B"/>
                <w:sz w:val="17"/>
                <w:szCs w:val="17"/>
              </w:rPr>
              <w:t>ERP Applications, ERP Security, CS SR-FA, CS AD-SF</w:t>
            </w:r>
          </w:p>
        </w:tc>
      </w:tr>
      <w:tr w:rsidR="004E2E2D" w14:paraId="7FC632D5" w14:textId="77777777">
        <w:tc>
          <w:tcPr>
            <w:tcW w:w="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5C8958BC" w14:textId="77777777" w:rsidR="004E2E2D" w:rsidRDefault="00000000">
            <w:r>
              <w:rPr>
                <w:b/>
                <w:bCs/>
                <w:color w:val="1B4332"/>
                <w:sz w:val="18"/>
                <w:szCs w:val="18"/>
              </w:rPr>
              <w:t>MH-14</w:t>
            </w:r>
          </w:p>
        </w:tc>
        <w:tc>
          <w:tcPr>
            <w:tcW w:w="2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1C1E0D20" w14:textId="77777777" w:rsidR="004E2E2D" w:rsidRDefault="00000000">
            <w:r>
              <w:rPr>
                <w:b/>
                <w:bCs/>
                <w:color w:val="1A1A1A"/>
                <w:sz w:val="18"/>
                <w:szCs w:val="18"/>
              </w:rPr>
              <w:t>Perceptive Content / Imaging Integration Path</w:t>
            </w:r>
          </w:p>
        </w:tc>
        <w:tc>
          <w:tcPr>
            <w:tcW w:w="364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47EA3C85" w14:textId="77777777" w:rsidR="004E2E2D" w:rsidRDefault="00000000">
            <w:r>
              <w:rPr>
                <w:color w:val="404040"/>
                <w:sz w:val="17"/>
                <w:szCs w:val="17"/>
              </w:rPr>
              <w:t>Perceptive Content uses LDAP with a custom AD group replication agent. A replacement integration must be designed and tested before LDAP deprecation. Vendor Entra compatibility must be confirmed.</w:t>
            </w:r>
          </w:p>
        </w:tc>
        <w:tc>
          <w:tcPr>
            <w:tcW w:w="22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0020A77E" w14:textId="77777777" w:rsidR="004E2E2D" w:rsidRDefault="00000000">
            <w:r>
              <w:rPr>
                <w:i/>
                <w:iCs/>
                <w:color w:val="6B6B6B"/>
                <w:sz w:val="17"/>
                <w:szCs w:val="17"/>
              </w:rPr>
              <w:t>Imaging, ERP Applications</w:t>
            </w:r>
          </w:p>
        </w:tc>
      </w:tr>
      <w:tr w:rsidR="004E2E2D" w14:paraId="75E28906" w14:textId="77777777">
        <w:tc>
          <w:tcPr>
            <w:tcW w:w="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71992012" w14:textId="77777777" w:rsidR="004E2E2D" w:rsidRDefault="00000000">
            <w:r>
              <w:rPr>
                <w:b/>
                <w:bCs/>
                <w:color w:val="1B4332"/>
                <w:sz w:val="18"/>
                <w:szCs w:val="18"/>
              </w:rPr>
              <w:t>MH-15</w:t>
            </w:r>
          </w:p>
        </w:tc>
        <w:tc>
          <w:tcPr>
            <w:tcW w:w="2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1A704329" w14:textId="77777777" w:rsidR="004E2E2D" w:rsidRDefault="00000000">
            <w:r>
              <w:rPr>
                <w:b/>
                <w:bCs/>
                <w:color w:val="1A1A1A"/>
                <w:sz w:val="18"/>
                <w:szCs w:val="18"/>
              </w:rPr>
              <w:t>Regulatory Compliance: FERPA, HIPAA, TAC 202.72, NIST 800, TexRamp, FedRamp</w:t>
            </w:r>
          </w:p>
        </w:tc>
        <w:tc>
          <w:tcPr>
            <w:tcW w:w="364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5FCD2FAB" w14:textId="77777777" w:rsidR="004E2E2D" w:rsidRDefault="00000000">
            <w:r>
              <w:rPr>
                <w:color w:val="404040"/>
                <w:sz w:val="17"/>
                <w:szCs w:val="17"/>
              </w:rPr>
              <w:t>All identity systems and processes must comply with applicable frameworks. Documented compliance posture must be established for student records (FERPA), health data (HIPAA), and systems under state/federal frameworks following migration.</w:t>
            </w:r>
          </w:p>
        </w:tc>
        <w:tc>
          <w:tcPr>
            <w:tcW w:w="22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5DAAA0AA" w14:textId="77777777" w:rsidR="004E2E2D" w:rsidRDefault="00000000">
            <w:r>
              <w:rPr>
                <w:i/>
                <w:iCs/>
                <w:color w:val="6B6B6B"/>
                <w:sz w:val="17"/>
                <w:szCs w:val="17"/>
              </w:rPr>
              <w:t>ERP Security, Operations, Risk &amp; Compliance, Datacomm</w:t>
            </w:r>
          </w:p>
        </w:tc>
      </w:tr>
    </w:tbl>
    <w:p w14:paraId="0EAFA145" w14:textId="77777777" w:rsidR="004E2E2D" w:rsidRDefault="004E2E2D">
      <w:pPr>
        <w:spacing w:after="200"/>
      </w:pPr>
    </w:p>
    <w:p w14:paraId="06C6EAFA" w14:textId="77777777" w:rsidR="00A415C0" w:rsidRDefault="00A415C0" w:rsidP="00A415C0">
      <w:pPr>
        <w:pStyle w:val="Heading2"/>
        <w:pageBreakBefore/>
        <w:pBdr>
          <w:top w:val="single" w:sz="1" w:space="18" w:color="FFFFFF"/>
        </w:pBdr>
        <w:rPr>
          <w:kern w:val="2"/>
          <w14:ligatures w14:val="standardContextual"/>
        </w:rPr>
      </w:pPr>
      <w:r>
        <w:rPr>
          <w:color w:val="10542B"/>
        </w:rPr>
        <w:lastRenderedPageBreak/>
        <w:t>2.1.4   Migration Governance</w:t>
      </w:r>
    </w:p>
    <w:p w14:paraId="30459F95" w14:textId="77777777" w:rsidR="004E2E2D" w:rsidRDefault="00000000">
      <w:pPr>
        <w:spacing w:after="140"/>
      </w:pPr>
      <w:r>
        <w:rPr>
          <w:color w:val="404040"/>
        </w:rPr>
        <w:t>These requirements govern how the migration itself is executed — timing, escalation, testing, and the workflows for non-standard identity types that must be handled before go-live.</w:t>
      </w:r>
    </w:p>
    <w:p w14:paraId="7A07D924" w14:textId="77777777" w:rsidR="004E2E2D" w:rsidRDefault="004E2E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tblBorders>
        <w:tblCellMar>
          <w:left w:w="10" w:type="dxa"/>
          <w:right w:w="10" w:type="dxa"/>
        </w:tblCellMar>
        <w:tblLook w:val="04A0" w:firstRow="1" w:lastRow="0" w:firstColumn="1" w:lastColumn="0" w:noHBand="0" w:noVBand="1"/>
      </w:tblPr>
      <w:tblGrid>
        <w:gridCol w:w="760"/>
        <w:gridCol w:w="2760"/>
        <w:gridCol w:w="3640"/>
        <w:gridCol w:w="2200"/>
      </w:tblGrid>
      <w:tr w:rsidR="004E2E2D" w14:paraId="7363A4D5" w14:textId="77777777">
        <w:trPr>
          <w:tblHeader/>
        </w:trPr>
        <w:tc>
          <w:tcPr>
            <w:tcW w:w="76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1A222BE6" w14:textId="77777777" w:rsidR="004E2E2D" w:rsidRDefault="00000000">
            <w:r>
              <w:rPr>
                <w:b/>
                <w:bCs/>
                <w:color w:val="FFFFFF"/>
                <w:sz w:val="18"/>
                <w:szCs w:val="18"/>
              </w:rPr>
              <w:t>ID</w:t>
            </w:r>
          </w:p>
        </w:tc>
        <w:tc>
          <w:tcPr>
            <w:tcW w:w="276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2BFAC6BC" w14:textId="77777777" w:rsidR="004E2E2D" w:rsidRDefault="00000000">
            <w:r>
              <w:rPr>
                <w:b/>
                <w:bCs/>
                <w:color w:val="FFFFFF"/>
                <w:sz w:val="18"/>
                <w:szCs w:val="18"/>
              </w:rPr>
              <w:t>Requirement</w:t>
            </w:r>
          </w:p>
        </w:tc>
        <w:tc>
          <w:tcPr>
            <w:tcW w:w="364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4EA6EC45" w14:textId="77777777" w:rsidR="004E2E2D" w:rsidRDefault="00000000">
            <w:r>
              <w:rPr>
                <w:b/>
                <w:bCs/>
                <w:color w:val="FFFFFF"/>
                <w:sz w:val="18"/>
                <w:szCs w:val="18"/>
              </w:rPr>
              <w:t>Detail &amp; Evidence</w:t>
            </w:r>
          </w:p>
        </w:tc>
        <w:tc>
          <w:tcPr>
            <w:tcW w:w="2200" w:type="dxa"/>
            <w:tcBorders>
              <w:top w:val="single" w:sz="1" w:space="0" w:color="D1D5DB"/>
              <w:left w:val="nil"/>
              <w:bottom w:val="single" w:sz="1" w:space="0" w:color="D1D5DB"/>
              <w:right w:val="nil"/>
            </w:tcBorders>
            <w:shd w:val="clear" w:color="auto" w:fill="1B4332"/>
            <w:tcMar>
              <w:top w:w="100" w:type="dxa"/>
              <w:left w:w="140" w:type="dxa"/>
              <w:bottom w:w="100" w:type="dxa"/>
              <w:right w:w="140" w:type="dxa"/>
            </w:tcMar>
          </w:tcPr>
          <w:p w14:paraId="74C2E1F7" w14:textId="77777777" w:rsidR="004E2E2D" w:rsidRDefault="00000000">
            <w:r>
              <w:rPr>
                <w:b/>
                <w:bCs/>
                <w:color w:val="FFFFFF"/>
                <w:sz w:val="18"/>
                <w:szCs w:val="18"/>
              </w:rPr>
              <w:t>Stakeholders</w:t>
            </w:r>
          </w:p>
        </w:tc>
      </w:tr>
      <w:tr w:rsidR="004E2E2D" w14:paraId="3957648E" w14:textId="77777777">
        <w:tc>
          <w:tcPr>
            <w:tcW w:w="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50B772FE" w14:textId="77777777" w:rsidR="004E2E2D" w:rsidRDefault="00000000">
            <w:r>
              <w:rPr>
                <w:b/>
                <w:bCs/>
                <w:color w:val="1B4332"/>
                <w:sz w:val="18"/>
                <w:szCs w:val="18"/>
              </w:rPr>
              <w:t>MH-16</w:t>
            </w:r>
          </w:p>
        </w:tc>
        <w:tc>
          <w:tcPr>
            <w:tcW w:w="2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28C35E9B" w14:textId="77777777" w:rsidR="004E2E2D" w:rsidRDefault="00000000">
            <w:r>
              <w:rPr>
                <w:b/>
                <w:bCs/>
                <w:color w:val="1A1A1A"/>
                <w:sz w:val="18"/>
                <w:szCs w:val="18"/>
              </w:rPr>
              <w:t>Semester-Break Cutover Windows Only</w:t>
            </w:r>
          </w:p>
        </w:tc>
        <w:tc>
          <w:tcPr>
            <w:tcW w:w="364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6A111C19" w14:textId="77777777" w:rsidR="004E2E2D" w:rsidRDefault="00000000">
            <w:r>
              <w:rPr>
                <w:color w:val="404040"/>
                <w:sz w:val="17"/>
                <w:szCs w:val="17"/>
              </w:rPr>
              <w:t>All major cutover events must be scheduled during semester breaks, preferably Winter or Spring Break. No major identity changes within 12 class-days of the start of Fall or Spring semesters.</w:t>
            </w:r>
          </w:p>
        </w:tc>
        <w:tc>
          <w:tcPr>
            <w:tcW w:w="22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2D6FE956" w14:textId="77777777" w:rsidR="004E2E2D" w:rsidRDefault="00000000">
            <w:r>
              <w:rPr>
                <w:i/>
                <w:iCs/>
                <w:color w:val="6B6B6B"/>
                <w:sz w:val="17"/>
                <w:szCs w:val="17"/>
              </w:rPr>
              <w:t>Academic Tech, AITS, ERP Security</w:t>
            </w:r>
          </w:p>
        </w:tc>
      </w:tr>
      <w:tr w:rsidR="004E2E2D" w14:paraId="73BDCE5B" w14:textId="77777777">
        <w:tc>
          <w:tcPr>
            <w:tcW w:w="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68B96D08" w14:textId="77777777" w:rsidR="004E2E2D" w:rsidRDefault="00000000">
            <w:r>
              <w:rPr>
                <w:b/>
                <w:bCs/>
                <w:color w:val="1B4332"/>
                <w:sz w:val="18"/>
                <w:szCs w:val="18"/>
              </w:rPr>
              <w:t>MH-17</w:t>
            </w:r>
          </w:p>
        </w:tc>
        <w:tc>
          <w:tcPr>
            <w:tcW w:w="2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2C98B6C1" w14:textId="77777777" w:rsidR="004E2E2D" w:rsidRDefault="00000000">
            <w:r>
              <w:rPr>
                <w:b/>
                <w:bCs/>
                <w:color w:val="1A1A1A"/>
                <w:sz w:val="18"/>
                <w:szCs w:val="18"/>
              </w:rPr>
              <w:t>Defined Escalation &amp; Emergency Support Path</w:t>
            </w:r>
          </w:p>
        </w:tc>
        <w:tc>
          <w:tcPr>
            <w:tcW w:w="364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79A7E4B3" w14:textId="77777777" w:rsidR="004E2E2D" w:rsidRDefault="00000000">
            <w:r>
              <w:rPr>
                <w:color w:val="404040"/>
                <w:sz w:val="17"/>
                <w:szCs w:val="17"/>
              </w:rPr>
              <w:t>A documented, fast-path escalation process must exist for identity incidents during and after migration. IAM response SLAs for blocking issues must be defined and communicated before any cutover begins.</w:t>
            </w:r>
          </w:p>
        </w:tc>
        <w:tc>
          <w:tcPr>
            <w:tcW w:w="22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38FD9805" w14:textId="77777777" w:rsidR="004E2E2D" w:rsidRDefault="00000000">
            <w:r>
              <w:rPr>
                <w:i/>
                <w:iCs/>
                <w:color w:val="6B6B6B"/>
                <w:sz w:val="17"/>
                <w:szCs w:val="17"/>
              </w:rPr>
              <w:t>AITS, ERP Security, Academic Tech, Risk &amp; Compliance</w:t>
            </w:r>
          </w:p>
        </w:tc>
      </w:tr>
      <w:tr w:rsidR="004E2E2D" w14:paraId="27438E10" w14:textId="77777777">
        <w:tc>
          <w:tcPr>
            <w:tcW w:w="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53A27164" w14:textId="77777777" w:rsidR="004E2E2D" w:rsidRDefault="00000000">
            <w:r>
              <w:rPr>
                <w:b/>
                <w:bCs/>
                <w:color w:val="1B4332"/>
                <w:sz w:val="18"/>
                <w:szCs w:val="18"/>
              </w:rPr>
              <w:t>MH-18</w:t>
            </w:r>
          </w:p>
        </w:tc>
        <w:tc>
          <w:tcPr>
            <w:tcW w:w="2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19E4FEBE" w14:textId="77777777" w:rsidR="004E2E2D" w:rsidRDefault="00000000">
            <w:r>
              <w:rPr>
                <w:b/>
                <w:bCs/>
                <w:color w:val="1A1A1A"/>
                <w:sz w:val="18"/>
                <w:szCs w:val="18"/>
              </w:rPr>
              <w:t>Integration Testing Plan with Dedicated Test Environment</w:t>
            </w:r>
          </w:p>
        </w:tc>
        <w:tc>
          <w:tcPr>
            <w:tcW w:w="364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010D8AB5" w14:textId="77777777" w:rsidR="004E2E2D" w:rsidRDefault="00000000">
            <w:r>
              <w:rPr>
                <w:color w:val="404040"/>
                <w:sz w:val="17"/>
                <w:szCs w:val="17"/>
              </w:rPr>
              <w:t>Each unit must validate their integrations in a test environment before production cutover. Testing must cover authentication, attribute passing, SSO, group membership, and role assignment.</w:t>
            </w:r>
          </w:p>
        </w:tc>
        <w:tc>
          <w:tcPr>
            <w:tcW w:w="22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7F8EE065" w14:textId="77777777" w:rsidR="004E2E2D" w:rsidRDefault="00000000">
            <w:r>
              <w:rPr>
                <w:i/>
                <w:iCs/>
                <w:color w:val="6B6B6B"/>
                <w:sz w:val="17"/>
                <w:szCs w:val="17"/>
              </w:rPr>
              <w:t>Academic Tech, AITS, Datacomm, Imaging</w:t>
            </w:r>
          </w:p>
        </w:tc>
      </w:tr>
      <w:tr w:rsidR="004E2E2D" w14:paraId="07E8CEE6" w14:textId="77777777">
        <w:tc>
          <w:tcPr>
            <w:tcW w:w="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65ADB521" w14:textId="77777777" w:rsidR="004E2E2D" w:rsidRDefault="00000000">
            <w:r>
              <w:rPr>
                <w:b/>
                <w:bCs/>
                <w:color w:val="1B4332"/>
                <w:sz w:val="18"/>
                <w:szCs w:val="18"/>
              </w:rPr>
              <w:t>MH-19</w:t>
            </w:r>
          </w:p>
        </w:tc>
        <w:tc>
          <w:tcPr>
            <w:tcW w:w="276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540AB177" w14:textId="77777777" w:rsidR="004E2E2D" w:rsidRDefault="00000000">
            <w:r>
              <w:rPr>
                <w:b/>
                <w:bCs/>
                <w:color w:val="1A1A1A"/>
                <w:sz w:val="18"/>
                <w:szCs w:val="18"/>
              </w:rPr>
              <w:t>Vendor / Contractor / POI Provisioning Workflow</w:t>
            </w:r>
          </w:p>
        </w:tc>
        <w:tc>
          <w:tcPr>
            <w:tcW w:w="364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39471373" w14:textId="77777777" w:rsidR="004E2E2D" w:rsidRDefault="00000000">
            <w:r>
              <w:rPr>
                <w:color w:val="404040"/>
                <w:sz w:val="17"/>
                <w:szCs w:val="17"/>
              </w:rPr>
              <w:t>A formal process must exist for provisioning and deprovisioning non-employee POIs, contractors, vendors, and visiting scholars. Accounts must support defined expiration dates. Currently handled manually and inconsistently.</w:t>
            </w:r>
          </w:p>
        </w:tc>
        <w:tc>
          <w:tcPr>
            <w:tcW w:w="22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76C1E7DC" w14:textId="77777777" w:rsidR="004E2E2D" w:rsidRDefault="00000000">
            <w:r>
              <w:rPr>
                <w:i/>
                <w:iCs/>
                <w:color w:val="6B6B6B"/>
                <w:sz w:val="17"/>
                <w:szCs w:val="17"/>
              </w:rPr>
              <w:t>AITS, ERP Security, Risk &amp; Compliance, Operations</w:t>
            </w:r>
          </w:p>
        </w:tc>
      </w:tr>
      <w:tr w:rsidR="004E2E2D" w14:paraId="61480042" w14:textId="77777777">
        <w:tc>
          <w:tcPr>
            <w:tcW w:w="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0955F74B" w14:textId="77777777" w:rsidR="004E2E2D" w:rsidRDefault="00000000">
            <w:r>
              <w:rPr>
                <w:b/>
                <w:bCs/>
                <w:color w:val="1B4332"/>
                <w:sz w:val="18"/>
                <w:szCs w:val="18"/>
              </w:rPr>
              <w:t>MH-20</w:t>
            </w:r>
          </w:p>
        </w:tc>
        <w:tc>
          <w:tcPr>
            <w:tcW w:w="276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41FCB264" w14:textId="77777777" w:rsidR="004E2E2D" w:rsidRDefault="00000000">
            <w:r>
              <w:rPr>
                <w:b/>
                <w:bCs/>
                <w:color w:val="1A1A1A"/>
                <w:sz w:val="18"/>
                <w:szCs w:val="18"/>
              </w:rPr>
              <w:t>Cross-Boarding (Role Change) Automation</w:t>
            </w:r>
          </w:p>
        </w:tc>
        <w:tc>
          <w:tcPr>
            <w:tcW w:w="364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16547E5F" w14:textId="77777777" w:rsidR="004E2E2D" w:rsidRDefault="00000000">
            <w:r>
              <w:rPr>
                <w:color w:val="404040"/>
                <w:sz w:val="17"/>
                <w:szCs w:val="17"/>
              </w:rPr>
              <w:t>When a user changes roles (e.g., student to employee, department transfer), identity attributes and access rights must update automatically and correctly. Currently, cross-boarding causes incorrect access grants and T800 incidents.</w:t>
            </w:r>
          </w:p>
        </w:tc>
        <w:tc>
          <w:tcPr>
            <w:tcW w:w="22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4280C666" w14:textId="77777777" w:rsidR="004E2E2D" w:rsidRDefault="00000000">
            <w:r>
              <w:rPr>
                <w:i/>
                <w:iCs/>
                <w:color w:val="6B6B6B"/>
                <w:sz w:val="17"/>
                <w:szCs w:val="17"/>
              </w:rPr>
              <w:t>Academic Tech, AITS, ERP Security, Operations</w:t>
            </w:r>
          </w:p>
        </w:tc>
      </w:tr>
    </w:tbl>
    <w:p w14:paraId="223ECF93" w14:textId="77777777" w:rsidR="004E2E2D" w:rsidRDefault="004E2E2D">
      <w:pPr>
        <w:spacing w:after="200"/>
      </w:pPr>
    </w:p>
    <w:p w14:paraId="5EAE0DF2" w14:textId="388C3C99" w:rsidR="00446801" w:rsidRDefault="00446801">
      <w:r>
        <w:br w:type="page"/>
      </w:r>
    </w:p>
    <w:p w14:paraId="41A134B7" w14:textId="6E7F21BD" w:rsidR="00F51DFB" w:rsidRDefault="00825888">
      <w:pPr>
        <w:pStyle w:val="Heading2"/>
        <w:rPr>
          <w:color w:val="FFFFFF" w:themeColor="background1"/>
        </w:rPr>
      </w:pPr>
      <w:r>
        <w:rPr>
          <w:color w:val="FFFFFF"/>
        </w:rPr>
        <w:lastRenderedPageBreak/>
        <w:t>SECTION 2.2: NICE-TO-HAVE REQUIREMENTS</w:t>
      </w:r>
    </w:p>
    <w:tbl>
      <w:tblPr>
        <w:tblW w:w="9360" w:type="dxa"/>
        <w:tblCellMar>
          <w:left w:w="10" w:type="dxa"/>
          <w:right w:w="10" w:type="dxa"/>
        </w:tblCellMar>
        <w:tblLook w:val="04A0" w:firstRow="1" w:lastRow="0" w:firstColumn="1" w:lastColumn="0" w:noHBand="0" w:noVBand="1"/>
      </w:tblPr>
      <w:tblGrid>
        <w:gridCol w:w="9360"/>
      </w:tblGrid>
      <w:tr w:rsidR="00F51DFB" w14:paraId="4BE328A4" w14:textId="77777777" w:rsidTr="00F51DFB">
        <w:tc>
          <w:tcPr>
            <w:tcW w:w="9360" w:type="dxa"/>
            <w:tcBorders>
              <w:bottom w:val="single" w:sz="4" w:space="0" w:color="FFFFFF"/>
            </w:tcBorders>
            <w:shd w:val="clear" w:color="auto" w:fill="10542B"/>
            <w:tcMar>
              <w:top w:w="180" w:type="dxa"/>
              <w:left w:w="360" w:type="dxa"/>
              <w:bottom w:w="180" w:type="dxa"/>
              <w:right w:w="360" w:type="dxa"/>
            </w:tcMar>
          </w:tcPr>
          <w:p w14:paraId="60703662" w14:textId="56192F65" w:rsidR="00F51DFB" w:rsidRDefault="00F51DFB" w:rsidP="002813E2">
            <w:pPr>
              <w:pStyle w:val="Heading2"/>
              <w:rPr>
                <w:color w:val="D1FAE5"/>
              </w:rPr>
            </w:pPr>
            <w:r>
              <w:rPr>
                <w:color w:val="FFFFFF"/>
              </w:rPr>
              <w:t>SECTION 2.2: NICE-TO-HAVE REQUIREMENTS</w:t>
            </w:r>
          </w:p>
        </w:tc>
      </w:tr>
      <w:tr w:rsidR="00F51DFB" w14:paraId="26028FD9" w14:textId="77777777" w:rsidTr="00F51DFB">
        <w:tc>
          <w:tcPr>
            <w:tcW w:w="9360" w:type="dxa"/>
            <w:tcBorders>
              <w:top w:val="single" w:sz="4" w:space="0" w:color="FFFFFF"/>
            </w:tcBorders>
            <w:shd w:val="clear" w:color="auto" w:fill="10542B"/>
            <w:tcMar>
              <w:top w:w="180" w:type="dxa"/>
              <w:left w:w="360" w:type="dxa"/>
              <w:bottom w:w="180" w:type="dxa"/>
              <w:right w:w="360" w:type="dxa"/>
            </w:tcMar>
          </w:tcPr>
          <w:p w14:paraId="649AE9A7" w14:textId="0BD80179" w:rsidR="00F51DFB" w:rsidRPr="00A61ED9" w:rsidRDefault="00F51DFB" w:rsidP="002813E2">
            <w:pPr>
              <w:rPr>
                <w:b/>
                <w:bCs/>
              </w:rPr>
            </w:pPr>
            <w:r>
              <w:rPr>
                <w:b/>
                <w:bCs/>
                <w:color w:val="F2F2F2"/>
              </w:rPr>
              <w:t>15 requirements  |  Post-cutover roadmap  |  Phase 2 planning</w:t>
            </w:r>
          </w:p>
        </w:tc>
      </w:tr>
    </w:tbl>
    <w:p w14:paraId="19F84644" w14:textId="77777777" w:rsidR="004E2E2D" w:rsidRDefault="004E2E2D">
      <w:pPr>
        <w:spacing w:after="120"/>
      </w:pPr>
    </w:p>
    <w:p w14:paraId="64AC5553" w14:textId="77777777" w:rsidR="004E2E2D" w:rsidRDefault="00000000">
      <w:pPr>
        <w:spacing w:after="140"/>
      </w:pPr>
      <w:r>
        <w:rPr>
          <w:color w:val="1A1A1A"/>
        </w:rPr>
        <w:t>These requirements would meaningfully improve operations, security, and user experience but are not blockers for the initial migration cutover. They should be formally captured in the Phase 2 roadmap and prioritized with stakeholders following a successful Phase 1 cutover. Several of these can be partially realized using Entra capabilities already licensed as part of the migration.</w:t>
      </w:r>
    </w:p>
    <w:p w14:paraId="12FFADAA" w14:textId="77777777" w:rsidR="00A415C0" w:rsidRDefault="00A415C0" w:rsidP="00A415C0">
      <w:pPr>
        <w:pStyle w:val="Heading2"/>
        <w:rPr>
          <w:kern w:val="2"/>
          <w14:ligatures w14:val="standardContextual"/>
        </w:rPr>
      </w:pPr>
      <w:r>
        <w:rPr>
          <w:color w:val="10542B"/>
        </w:rPr>
        <w:t>2.2.1   Platform &amp; Security Enhancements</w:t>
      </w:r>
    </w:p>
    <w:p w14:paraId="5C2DEF03" w14:textId="5B2E0142" w:rsidR="004E2E2D" w:rsidRDefault="00000000">
      <w:pPr>
        <w:spacing w:after="140"/>
      </w:pPr>
      <w:r>
        <w:rPr>
          <w:color w:val="404040"/>
        </w:rPr>
        <w:t>Higher-impact improvements that leverage native Entra platform capabilities. Conditional Access and Autopilot in particular can be activated with relatively low incremental effort once the base migration is stable.</w:t>
      </w:r>
    </w:p>
    <w:p w14:paraId="69373DC0" w14:textId="77777777" w:rsidR="004E2E2D" w:rsidRDefault="004E2E2D">
      <w:pPr>
        <w:spacing w:after="8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800"/>
        <w:gridCol w:w="2744"/>
        <w:gridCol w:w="3597"/>
        <w:gridCol w:w="2219"/>
      </w:tblGrid>
      <w:tr w:rsidR="00A415C0" w14:paraId="33706E7B" w14:textId="77777777">
        <w:trPr>
          <w:tblHeader/>
          <w:tblCellSpacing w:w="15" w:type="dxa"/>
        </w:trPr>
        <w:tc>
          <w:tcPr>
            <w:tcW w:w="760" w:type="dxa"/>
            <w:tcBorders>
              <w:top w:val="single" w:sz="8" w:space="0" w:color="D1D5DB"/>
              <w:left w:val="single" w:sz="8" w:space="0" w:color="D1D5DB"/>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561C4CFC" w14:textId="77777777" w:rsidR="00A415C0" w:rsidRDefault="00A415C0">
            <w:pPr>
              <w:rPr>
                <w:kern w:val="2"/>
                <w14:ligatures w14:val="standardContextual"/>
              </w:rPr>
            </w:pPr>
            <w:r>
              <w:rPr>
                <w:b/>
                <w:bCs/>
                <w:color w:val="FFFFFF"/>
                <w:sz w:val="18"/>
                <w:szCs w:val="18"/>
              </w:rPr>
              <w:t>ID</w:t>
            </w:r>
          </w:p>
        </w:tc>
        <w:tc>
          <w:tcPr>
            <w:tcW w:w="2760" w:type="dxa"/>
            <w:tcBorders>
              <w:top w:val="single" w:sz="8" w:space="0" w:color="D1D5DB"/>
              <w:left w:val="nil"/>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16C237E4" w14:textId="77777777" w:rsidR="00A415C0" w:rsidRDefault="00A415C0">
            <w:r>
              <w:rPr>
                <w:b/>
                <w:bCs/>
                <w:color w:val="FFFFFF"/>
                <w:sz w:val="18"/>
                <w:szCs w:val="18"/>
              </w:rPr>
              <w:t>Requirement</w:t>
            </w:r>
          </w:p>
        </w:tc>
        <w:tc>
          <w:tcPr>
            <w:tcW w:w="3640" w:type="dxa"/>
            <w:tcBorders>
              <w:top w:val="single" w:sz="8" w:space="0" w:color="D1D5DB"/>
              <w:left w:val="nil"/>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33E6DF39" w14:textId="77777777" w:rsidR="00A415C0" w:rsidRDefault="00A415C0">
            <w:r>
              <w:rPr>
                <w:b/>
                <w:bCs/>
                <w:color w:val="FFFFFF"/>
                <w:sz w:val="18"/>
                <w:szCs w:val="18"/>
              </w:rPr>
              <w:t>Detail &amp; Evidence</w:t>
            </w:r>
          </w:p>
        </w:tc>
        <w:tc>
          <w:tcPr>
            <w:tcW w:w="2200" w:type="dxa"/>
            <w:tcBorders>
              <w:top w:val="single" w:sz="8" w:space="0" w:color="D1D5DB"/>
              <w:left w:val="nil"/>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3B0E6CCB" w14:textId="77777777" w:rsidR="00A415C0" w:rsidRDefault="00A415C0">
            <w:r>
              <w:rPr>
                <w:b/>
                <w:bCs/>
                <w:color w:val="FFFFFF"/>
                <w:sz w:val="18"/>
                <w:szCs w:val="18"/>
              </w:rPr>
              <w:t>Stakeholders</w:t>
            </w:r>
          </w:p>
        </w:tc>
      </w:tr>
      <w:tr w:rsidR="00A415C0" w14:paraId="04524384"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7B4B2A24" w14:textId="77777777" w:rsidR="00A415C0" w:rsidRDefault="00A415C0">
            <w:r>
              <w:rPr>
                <w:b/>
                <w:bCs/>
                <w:color w:val="10542B"/>
                <w:sz w:val="18"/>
                <w:szCs w:val="18"/>
              </w:rPr>
              <w:t>NH-01</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0D9C8F88" w14:textId="77777777" w:rsidR="00A415C0" w:rsidRDefault="00A415C0">
            <w:r>
              <w:rPr>
                <w:b/>
                <w:bCs/>
                <w:color w:val="1A1A1A"/>
                <w:sz w:val="18"/>
                <w:szCs w:val="18"/>
              </w:rPr>
              <w:t>Conditional Access Policies</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A3B0FF9" w14:textId="77777777" w:rsidR="00A415C0" w:rsidRDefault="00A415C0">
            <w:r>
              <w:rPr>
                <w:color w:val="404040"/>
                <w:sz w:val="17"/>
                <w:szCs w:val="17"/>
              </w:rPr>
              <w:t>Entra Conditional Access should enforce context-aware authentication decisions (device compliance, location, risk level). Cited as a meaningful security improvement across multiple technical units.</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56E0ACCE" w14:textId="77777777" w:rsidR="00A415C0" w:rsidRDefault="00A415C0">
            <w:r>
              <w:rPr>
                <w:i/>
                <w:iCs/>
                <w:color w:val="6B6B6B"/>
                <w:sz w:val="17"/>
                <w:szCs w:val="17"/>
              </w:rPr>
              <w:t>AITS, Security Ops, ERP Security</w:t>
            </w:r>
          </w:p>
        </w:tc>
      </w:tr>
      <w:tr w:rsidR="00A415C0" w14:paraId="75D384A3"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62F4C8E9" w14:textId="77777777" w:rsidR="00A415C0" w:rsidRDefault="00A415C0">
            <w:r>
              <w:rPr>
                <w:b/>
                <w:bCs/>
                <w:color w:val="10542B"/>
                <w:sz w:val="18"/>
                <w:szCs w:val="18"/>
              </w:rPr>
              <w:t>NH-02</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63CC880E" w14:textId="77777777" w:rsidR="00A415C0" w:rsidRDefault="00A415C0">
            <w:r>
              <w:rPr>
                <w:b/>
                <w:bCs/>
                <w:color w:val="1A1A1A"/>
                <w:sz w:val="18"/>
                <w:szCs w:val="18"/>
              </w:rPr>
              <w:t>Autopilot for Device Onboarding</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388C7321" w14:textId="77777777" w:rsidR="00A415C0" w:rsidRDefault="00A415C0">
            <w:r>
              <w:rPr>
                <w:color w:val="404040"/>
                <w:sz w:val="17"/>
                <w:szCs w:val="17"/>
              </w:rPr>
              <w:t>Windows Autopilot with Entra and Duo MFA would significantly improve device provisioning for distributed IT units and reduce manual setup effort.</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7F297DFE" w14:textId="77777777" w:rsidR="00A415C0" w:rsidRDefault="00A415C0">
            <w:r>
              <w:rPr>
                <w:i/>
                <w:iCs/>
                <w:color w:val="6B6B6B"/>
                <w:sz w:val="17"/>
                <w:szCs w:val="17"/>
              </w:rPr>
              <w:t>Academic Tech</w:t>
            </w:r>
          </w:p>
        </w:tc>
      </w:tr>
      <w:tr w:rsidR="00A415C0" w14:paraId="71164436"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E945BB9" w14:textId="77777777" w:rsidR="00A415C0" w:rsidRDefault="00A415C0">
            <w:r>
              <w:rPr>
                <w:b/>
                <w:bCs/>
                <w:color w:val="10542B"/>
                <w:sz w:val="18"/>
                <w:szCs w:val="18"/>
              </w:rPr>
              <w:t>NH-03</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2C8FA173" w14:textId="77777777" w:rsidR="00A415C0" w:rsidRDefault="00A415C0">
            <w:r>
              <w:rPr>
                <w:b/>
                <w:bCs/>
                <w:color w:val="1A1A1A"/>
                <w:sz w:val="18"/>
                <w:szCs w:val="18"/>
              </w:rPr>
              <w:t>Self-Service Identity Capabilities for Distributed IT</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1D317911" w14:textId="77777777" w:rsidR="00A415C0" w:rsidRDefault="00A415C0">
            <w:r>
              <w:rPr>
                <w:color w:val="404040"/>
                <w:sz w:val="17"/>
                <w:szCs w:val="17"/>
              </w:rPr>
              <w:t>AITS and Academic Tech want the ability to perform limited identity operations (group management, role assignment, attribute lookup) without opening IAM tickets. Scope and controls to be defined.</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0DFE552C" w14:textId="77777777" w:rsidR="00A415C0" w:rsidRDefault="00A415C0">
            <w:r>
              <w:rPr>
                <w:i/>
                <w:iCs/>
                <w:color w:val="6B6B6B"/>
                <w:sz w:val="17"/>
                <w:szCs w:val="17"/>
              </w:rPr>
              <w:t>AITS, Academic Tech</w:t>
            </w:r>
          </w:p>
        </w:tc>
      </w:tr>
      <w:tr w:rsidR="00A415C0" w14:paraId="1DF159AF"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7E43B38A" w14:textId="77777777" w:rsidR="00A415C0" w:rsidRDefault="00A415C0">
            <w:r>
              <w:rPr>
                <w:b/>
                <w:bCs/>
                <w:color w:val="10542B"/>
                <w:sz w:val="18"/>
                <w:szCs w:val="18"/>
              </w:rPr>
              <w:t>NH-04</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064BB2F1" w14:textId="77777777" w:rsidR="00A415C0" w:rsidRDefault="00A415C0">
            <w:r>
              <w:rPr>
                <w:b/>
                <w:bCs/>
                <w:color w:val="1A1A1A"/>
                <w:sz w:val="18"/>
                <w:szCs w:val="18"/>
              </w:rPr>
              <w:t>Real-Time Provisioning &amp; Attribute Sync</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211C7A21" w14:textId="77777777" w:rsidR="00A415C0" w:rsidRDefault="00A415C0">
            <w:r>
              <w:rPr>
                <w:color w:val="404040"/>
                <w:sz w:val="17"/>
                <w:szCs w:val="17"/>
              </w:rPr>
              <w:t>Several units rely on overnight batch processes (PageUp to EIS, Perceptive Content replication hourly). Real-time or near-real-time attribute synchronization would reduce access delays and improve user experience.</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5C860EC4" w14:textId="77777777" w:rsidR="00A415C0" w:rsidRDefault="00A415C0">
            <w:r>
              <w:rPr>
                <w:i/>
                <w:iCs/>
                <w:color w:val="6B6B6B"/>
                <w:sz w:val="17"/>
                <w:szCs w:val="17"/>
              </w:rPr>
              <w:t>ERP Security, Imaging, Operations</w:t>
            </w:r>
          </w:p>
        </w:tc>
      </w:tr>
      <w:tr w:rsidR="00A415C0" w14:paraId="790152F9"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F0A584E" w14:textId="77777777" w:rsidR="00A415C0" w:rsidRDefault="00A415C0">
            <w:r>
              <w:rPr>
                <w:b/>
                <w:bCs/>
                <w:color w:val="10542B"/>
                <w:sz w:val="18"/>
                <w:szCs w:val="18"/>
              </w:rPr>
              <w:t>NH-05</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5AEA77FC" w14:textId="77777777" w:rsidR="00A415C0" w:rsidRDefault="00A415C0">
            <w:r>
              <w:rPr>
                <w:b/>
                <w:bCs/>
                <w:color w:val="1A1A1A"/>
                <w:sz w:val="18"/>
                <w:szCs w:val="18"/>
              </w:rPr>
              <w:t>Bulk Account Creation for High-Volume Cohorts</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7009DB9B" w14:textId="77777777" w:rsidR="00A415C0" w:rsidRDefault="00A415C0">
            <w:r>
              <w:rPr>
                <w:color w:val="404040"/>
                <w:sz w:val="17"/>
                <w:szCs w:val="17"/>
              </w:rPr>
              <w:t>Risk and Compliance and AITS cited the need for efficient bulk provisioning for medical residents, event participants, and large incoming cohorts. A managed bulk-load interface would reduce manual effort.</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53ABA13" w14:textId="77777777" w:rsidR="00A415C0" w:rsidRDefault="00A415C0">
            <w:r>
              <w:rPr>
                <w:i/>
                <w:iCs/>
                <w:color w:val="6B6B6B"/>
                <w:sz w:val="17"/>
                <w:szCs w:val="17"/>
              </w:rPr>
              <w:t>Risk &amp; Compliance, AITS</w:t>
            </w:r>
          </w:p>
        </w:tc>
      </w:tr>
    </w:tbl>
    <w:p w14:paraId="4F70A6C1" w14:textId="77777777" w:rsidR="004E2E2D" w:rsidRDefault="004E2E2D">
      <w:pPr>
        <w:spacing w:after="200"/>
      </w:pPr>
    </w:p>
    <w:p w14:paraId="65647EA7" w14:textId="77777777" w:rsidR="00A415C0" w:rsidRDefault="00A415C0" w:rsidP="00A415C0">
      <w:pPr>
        <w:pStyle w:val="Heading2"/>
        <w:pageBreakBefore/>
        <w:pBdr>
          <w:top w:val="single" w:sz="1" w:space="18" w:color="FFFFFF"/>
        </w:pBdr>
        <w:rPr>
          <w:kern w:val="2"/>
          <w14:ligatures w14:val="standardContextual"/>
        </w:rPr>
      </w:pPr>
      <w:r>
        <w:rPr>
          <w:color w:val="10542B"/>
        </w:rPr>
        <w:lastRenderedPageBreak/>
        <w:t>2.2.2   Operational Improvements</w:t>
      </w:r>
    </w:p>
    <w:p w14:paraId="14455F28" w14:textId="77777777" w:rsidR="004E2E2D" w:rsidRDefault="00000000">
      <w:pPr>
        <w:spacing w:after="140"/>
      </w:pPr>
      <w:r>
        <w:rPr>
          <w:color w:val="404040"/>
        </w:rPr>
        <w:t>These requirements target the day-to-day friction points that were most commonly cited: visibility into provisioned data, real-time sync, and PeopleSoft SSO. Each would have a meaningful impact on team productivity.</w:t>
      </w:r>
    </w:p>
    <w:p w14:paraId="446033CF" w14:textId="77777777" w:rsidR="004E2E2D" w:rsidRDefault="004E2E2D">
      <w:pPr>
        <w:spacing w:after="8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801"/>
        <w:gridCol w:w="2751"/>
        <w:gridCol w:w="3591"/>
        <w:gridCol w:w="2217"/>
      </w:tblGrid>
      <w:tr w:rsidR="00A415C0" w14:paraId="3C7CB101" w14:textId="77777777">
        <w:trPr>
          <w:tblHeader/>
          <w:tblCellSpacing w:w="15" w:type="dxa"/>
        </w:trPr>
        <w:tc>
          <w:tcPr>
            <w:tcW w:w="760" w:type="dxa"/>
            <w:tcBorders>
              <w:top w:val="single" w:sz="8" w:space="0" w:color="D1D5DB"/>
              <w:left w:val="single" w:sz="8" w:space="0" w:color="D1D5DB"/>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04ECB79D" w14:textId="77777777" w:rsidR="00A415C0" w:rsidRDefault="00A415C0">
            <w:pPr>
              <w:rPr>
                <w:kern w:val="2"/>
                <w14:ligatures w14:val="standardContextual"/>
              </w:rPr>
            </w:pPr>
            <w:r>
              <w:rPr>
                <w:b/>
                <w:bCs/>
                <w:color w:val="FFFFFF"/>
                <w:sz w:val="18"/>
                <w:szCs w:val="18"/>
              </w:rPr>
              <w:t>ID</w:t>
            </w:r>
          </w:p>
        </w:tc>
        <w:tc>
          <w:tcPr>
            <w:tcW w:w="2760" w:type="dxa"/>
            <w:tcBorders>
              <w:top w:val="single" w:sz="8" w:space="0" w:color="D1D5DB"/>
              <w:left w:val="nil"/>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084CA46E" w14:textId="77777777" w:rsidR="00A415C0" w:rsidRDefault="00A415C0">
            <w:r>
              <w:rPr>
                <w:b/>
                <w:bCs/>
                <w:color w:val="FFFFFF"/>
                <w:sz w:val="18"/>
                <w:szCs w:val="18"/>
              </w:rPr>
              <w:t>Requirement</w:t>
            </w:r>
          </w:p>
        </w:tc>
        <w:tc>
          <w:tcPr>
            <w:tcW w:w="3640" w:type="dxa"/>
            <w:tcBorders>
              <w:top w:val="single" w:sz="8" w:space="0" w:color="D1D5DB"/>
              <w:left w:val="nil"/>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7F4CD1BF" w14:textId="77777777" w:rsidR="00A415C0" w:rsidRDefault="00A415C0">
            <w:r>
              <w:rPr>
                <w:b/>
                <w:bCs/>
                <w:color w:val="FFFFFF"/>
                <w:sz w:val="18"/>
                <w:szCs w:val="18"/>
              </w:rPr>
              <w:t>Detail &amp; Evidence</w:t>
            </w:r>
          </w:p>
        </w:tc>
        <w:tc>
          <w:tcPr>
            <w:tcW w:w="2200" w:type="dxa"/>
            <w:tcBorders>
              <w:top w:val="single" w:sz="8" w:space="0" w:color="D1D5DB"/>
              <w:left w:val="nil"/>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411778A9" w14:textId="77777777" w:rsidR="00A415C0" w:rsidRDefault="00A415C0">
            <w:r>
              <w:rPr>
                <w:b/>
                <w:bCs/>
                <w:color w:val="FFFFFF"/>
                <w:sz w:val="18"/>
                <w:szCs w:val="18"/>
              </w:rPr>
              <w:t>Stakeholders</w:t>
            </w:r>
          </w:p>
        </w:tc>
      </w:tr>
      <w:tr w:rsidR="00A415C0" w14:paraId="6CA9CC8D"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169F4364" w14:textId="77777777" w:rsidR="00A415C0" w:rsidRDefault="00A415C0">
            <w:r>
              <w:rPr>
                <w:b/>
                <w:bCs/>
                <w:color w:val="10542B"/>
                <w:sz w:val="18"/>
                <w:szCs w:val="18"/>
              </w:rPr>
              <w:t>NH-06</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76E90680" w14:textId="77777777" w:rsidR="00A415C0" w:rsidRDefault="00A415C0">
            <w:r>
              <w:rPr>
                <w:b/>
                <w:bCs/>
                <w:color w:val="1A1A1A"/>
                <w:sz w:val="18"/>
                <w:szCs w:val="18"/>
              </w:rPr>
              <w:t>IDTree / Provisioning Data Transparency Portal</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64AB5F06" w14:textId="77777777" w:rsidR="00A415C0" w:rsidRDefault="00A415C0">
            <w:r>
              <w:rPr>
                <w:color w:val="404040"/>
                <w:sz w:val="17"/>
                <w:szCs w:val="17"/>
              </w:rPr>
              <w:t>Multiple teams need visibility into what has been provisioned — who has what access, when granted, and what attributes are active — without opening a ServiceNow ticket.</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1D695335" w14:textId="77777777" w:rsidR="00A415C0" w:rsidRDefault="00A415C0">
            <w:r>
              <w:rPr>
                <w:i/>
                <w:iCs/>
                <w:color w:val="6B6B6B"/>
                <w:sz w:val="17"/>
                <w:szCs w:val="17"/>
              </w:rPr>
              <w:t>CS AD-SF, Academic Tech, AITS</w:t>
            </w:r>
          </w:p>
        </w:tc>
      </w:tr>
      <w:tr w:rsidR="00A415C0" w14:paraId="3BF61560"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4919352F" w14:textId="77777777" w:rsidR="00A415C0" w:rsidRDefault="00A415C0">
            <w:r>
              <w:rPr>
                <w:b/>
                <w:bCs/>
                <w:color w:val="10542B"/>
                <w:sz w:val="18"/>
                <w:szCs w:val="18"/>
              </w:rPr>
              <w:t>NH-07</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671A1E91" w14:textId="77777777" w:rsidR="00A415C0" w:rsidRDefault="00A415C0">
            <w:r>
              <w:rPr>
                <w:b/>
                <w:bCs/>
                <w:color w:val="1A1A1A"/>
                <w:sz w:val="18"/>
                <w:szCs w:val="18"/>
              </w:rPr>
              <w:t>PeopleSoft SSO Implementation</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7013A05A" w14:textId="77777777" w:rsidR="00A415C0" w:rsidRDefault="00A415C0">
            <w:r>
              <w:rPr>
                <w:color w:val="404040"/>
                <w:sz w:val="17"/>
                <w:szCs w:val="17"/>
              </w:rPr>
              <w:t>PeopleSoft does not use true SSO. Implementing Entra-based SSO would improve the developer and end-user experience and reduce credential sprawl across Oracle database environments.</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3BFB8A51" w14:textId="77777777" w:rsidR="00A415C0" w:rsidRDefault="00A415C0">
            <w:r>
              <w:rPr>
                <w:i/>
                <w:iCs/>
                <w:color w:val="6B6B6B"/>
                <w:sz w:val="17"/>
                <w:szCs w:val="17"/>
              </w:rPr>
              <w:t>ERP Applications, ERP Security, CS SR-FA</w:t>
            </w:r>
          </w:p>
        </w:tc>
      </w:tr>
      <w:tr w:rsidR="00A415C0" w14:paraId="4EAA574F"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6A9ED672" w14:textId="77777777" w:rsidR="00A415C0" w:rsidRDefault="00A415C0">
            <w:r>
              <w:rPr>
                <w:b/>
                <w:bCs/>
                <w:color w:val="10542B"/>
                <w:sz w:val="18"/>
                <w:szCs w:val="18"/>
              </w:rPr>
              <w:t>NH-08</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6A95B3B2" w14:textId="77777777" w:rsidR="00A415C0" w:rsidRDefault="00A415C0">
            <w:r>
              <w:rPr>
                <w:b/>
                <w:bCs/>
                <w:color w:val="1A1A1A"/>
                <w:sz w:val="18"/>
                <w:szCs w:val="18"/>
              </w:rPr>
              <w:t>Oracle Database Password Synchronization</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0C1B9D2B" w14:textId="77777777" w:rsidR="00A415C0" w:rsidRDefault="00A415C0">
            <w:r>
              <w:rPr>
                <w:color w:val="404040"/>
                <w:sz w:val="17"/>
                <w:szCs w:val="17"/>
              </w:rPr>
              <w:t>PeopleSoft developers maintain separate, unsynchronized Oracle database passwords. A unified credential or SSO approach would reduce friction and improve security posture.</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1A692482" w14:textId="77777777" w:rsidR="00A415C0" w:rsidRDefault="00A415C0">
            <w:r>
              <w:rPr>
                <w:i/>
                <w:iCs/>
                <w:color w:val="6B6B6B"/>
                <w:sz w:val="17"/>
                <w:szCs w:val="17"/>
              </w:rPr>
              <w:t>CS SR-FA</w:t>
            </w:r>
          </w:p>
        </w:tc>
      </w:tr>
      <w:tr w:rsidR="00A415C0" w14:paraId="0A29C4EC"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77E4417F" w14:textId="77777777" w:rsidR="00A415C0" w:rsidRDefault="00A415C0">
            <w:r>
              <w:rPr>
                <w:b/>
                <w:bCs/>
                <w:color w:val="10542B"/>
                <w:sz w:val="18"/>
                <w:szCs w:val="18"/>
              </w:rPr>
              <w:t>NH-09</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0AB19023" w14:textId="77777777" w:rsidR="00A415C0" w:rsidRDefault="00A415C0">
            <w:r>
              <w:rPr>
                <w:b/>
                <w:bCs/>
                <w:color w:val="1A1A1A"/>
                <w:sz w:val="18"/>
                <w:szCs w:val="18"/>
              </w:rPr>
              <w:t>TACACS Privilege Granularity for Network Equipment</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58F350E0" w14:textId="77777777" w:rsidR="00A415C0" w:rsidRDefault="00A415C0">
            <w:r>
              <w:rPr>
                <w:color w:val="404040"/>
                <w:sz w:val="17"/>
                <w:szCs w:val="17"/>
              </w:rPr>
              <w:t>Datacomm is deploying TACACS to enable more granular privilege levels on network equipment. This integration should be supported and documented as part of the migration.</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09728A21" w14:textId="77777777" w:rsidR="00A415C0" w:rsidRDefault="00A415C0">
            <w:r>
              <w:rPr>
                <w:i/>
                <w:iCs/>
                <w:color w:val="6B6B6B"/>
                <w:sz w:val="17"/>
                <w:szCs w:val="17"/>
              </w:rPr>
              <w:t>Datacomm</w:t>
            </w:r>
          </w:p>
        </w:tc>
      </w:tr>
      <w:tr w:rsidR="00A415C0" w14:paraId="0F18893F"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7F74364C" w14:textId="77777777" w:rsidR="00A415C0" w:rsidRDefault="00A415C0">
            <w:r>
              <w:rPr>
                <w:b/>
                <w:bCs/>
                <w:color w:val="10542B"/>
                <w:sz w:val="18"/>
                <w:szCs w:val="18"/>
              </w:rPr>
              <w:t>NH-10</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2853F407" w14:textId="77777777" w:rsidR="00A415C0" w:rsidRDefault="00A415C0">
            <w:r>
              <w:rPr>
                <w:b/>
                <w:bCs/>
                <w:color w:val="1A1A1A"/>
                <w:sz w:val="18"/>
                <w:szCs w:val="18"/>
              </w:rPr>
              <w:t>Real-Time IAM Support Channel (Teams)</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37C5721B" w14:textId="77777777" w:rsidR="00A415C0" w:rsidRDefault="00A415C0">
            <w:r>
              <w:rPr>
                <w:color w:val="404040"/>
                <w:sz w:val="17"/>
                <w:szCs w:val="17"/>
              </w:rPr>
              <w:t>Academic Tech requested a dedicated Teams channel where distributed IT staff can communicate directly with the IAM team during and after migration for faster incident resolution.</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2CB74D2D" w14:textId="77777777" w:rsidR="00A415C0" w:rsidRDefault="00A415C0">
            <w:r>
              <w:rPr>
                <w:i/>
                <w:iCs/>
                <w:color w:val="6B6B6B"/>
                <w:sz w:val="17"/>
                <w:szCs w:val="17"/>
              </w:rPr>
              <w:t>Academic Tech, AITS</w:t>
            </w:r>
          </w:p>
        </w:tc>
      </w:tr>
      <w:tr w:rsidR="00A415C0" w14:paraId="4607AA1A"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3B55FDD2" w14:textId="77777777" w:rsidR="00A415C0" w:rsidRDefault="00A415C0">
            <w:r>
              <w:rPr>
                <w:b/>
                <w:bCs/>
                <w:color w:val="10542B"/>
                <w:sz w:val="18"/>
                <w:szCs w:val="18"/>
              </w:rPr>
              <w:t>NH-11</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6CF72326" w14:textId="77777777" w:rsidR="00A415C0" w:rsidRDefault="00A415C0">
            <w:r>
              <w:rPr>
                <w:b/>
                <w:bCs/>
                <w:color w:val="1A1A1A"/>
                <w:sz w:val="18"/>
                <w:szCs w:val="18"/>
              </w:rPr>
              <w:t>Authentication Services Flow Chart &amp; Updated Documentation</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600C5C0B" w14:textId="77777777" w:rsidR="00A415C0" w:rsidRDefault="00A415C0">
            <w:r>
              <w:rPr>
                <w:color w:val="404040"/>
                <w:sz w:val="17"/>
                <w:szCs w:val="17"/>
              </w:rPr>
              <w:t>Multiple units independently requested a clear visual flow chart of supported authentication methods, their dependencies, and how to use them — cited as a prerequisite for training and onboarding.</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5533F9EC" w14:textId="77777777" w:rsidR="00A415C0" w:rsidRDefault="00A415C0">
            <w:r>
              <w:rPr>
                <w:i/>
                <w:iCs/>
                <w:color w:val="6B6B6B"/>
                <w:sz w:val="17"/>
                <w:szCs w:val="17"/>
              </w:rPr>
              <w:t>Academic Tech, Operations, AITS, ERP Security</w:t>
            </w:r>
          </w:p>
        </w:tc>
      </w:tr>
    </w:tbl>
    <w:p w14:paraId="45134124" w14:textId="77777777" w:rsidR="004E2E2D" w:rsidRDefault="004E2E2D">
      <w:pPr>
        <w:spacing w:after="200"/>
      </w:pPr>
    </w:p>
    <w:p w14:paraId="095E1CE3" w14:textId="77777777" w:rsidR="00A415C0" w:rsidRDefault="00A415C0" w:rsidP="00A415C0">
      <w:pPr>
        <w:pStyle w:val="Heading2"/>
        <w:pageBreakBefore/>
        <w:pBdr>
          <w:top w:val="single" w:sz="1" w:space="18" w:color="FFFFFF"/>
        </w:pBdr>
        <w:rPr>
          <w:kern w:val="2"/>
          <w14:ligatures w14:val="standardContextual"/>
        </w:rPr>
      </w:pPr>
      <w:r>
        <w:rPr>
          <w:color w:val="10542B"/>
        </w:rPr>
        <w:lastRenderedPageBreak/>
        <w:t>2.2.3   Governance, Support &amp; Documentation</w:t>
      </w:r>
    </w:p>
    <w:p w14:paraId="1AA09B35" w14:textId="77777777" w:rsidR="004E2E2D" w:rsidRDefault="00000000">
      <w:pPr>
        <w:spacing w:after="140"/>
      </w:pPr>
      <w:r>
        <w:rPr>
          <w:color w:val="404040"/>
        </w:rPr>
        <w:t>These requirements address the support infrastructure and governance tooling that will be needed to sustain the migration long-term. Several, such as the authentication flow chart and unified onboarding ticket, could be started in parallel with Phase 1 work.</w:t>
      </w:r>
    </w:p>
    <w:p w14:paraId="1E6EF501" w14:textId="77777777" w:rsidR="004E2E2D" w:rsidRDefault="004E2E2D">
      <w:pPr>
        <w:spacing w:after="8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801"/>
        <w:gridCol w:w="2750"/>
        <w:gridCol w:w="3590"/>
        <w:gridCol w:w="2219"/>
      </w:tblGrid>
      <w:tr w:rsidR="00A415C0" w14:paraId="4D69E70E" w14:textId="77777777">
        <w:trPr>
          <w:tblHeader/>
          <w:tblCellSpacing w:w="15" w:type="dxa"/>
        </w:trPr>
        <w:tc>
          <w:tcPr>
            <w:tcW w:w="760" w:type="dxa"/>
            <w:tcBorders>
              <w:top w:val="single" w:sz="8" w:space="0" w:color="D1D5DB"/>
              <w:left w:val="single" w:sz="8" w:space="0" w:color="D1D5DB"/>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71C91410" w14:textId="77777777" w:rsidR="00A415C0" w:rsidRDefault="00A415C0">
            <w:pPr>
              <w:rPr>
                <w:kern w:val="2"/>
                <w14:ligatures w14:val="standardContextual"/>
              </w:rPr>
            </w:pPr>
            <w:r>
              <w:rPr>
                <w:b/>
                <w:bCs/>
                <w:color w:val="FFFFFF"/>
                <w:sz w:val="18"/>
                <w:szCs w:val="18"/>
              </w:rPr>
              <w:t>ID</w:t>
            </w:r>
          </w:p>
        </w:tc>
        <w:tc>
          <w:tcPr>
            <w:tcW w:w="2760" w:type="dxa"/>
            <w:tcBorders>
              <w:top w:val="single" w:sz="8" w:space="0" w:color="D1D5DB"/>
              <w:left w:val="nil"/>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4A139808" w14:textId="77777777" w:rsidR="00A415C0" w:rsidRDefault="00A415C0">
            <w:r>
              <w:rPr>
                <w:b/>
                <w:bCs/>
                <w:color w:val="FFFFFF"/>
                <w:sz w:val="18"/>
                <w:szCs w:val="18"/>
              </w:rPr>
              <w:t>Requirement</w:t>
            </w:r>
          </w:p>
        </w:tc>
        <w:tc>
          <w:tcPr>
            <w:tcW w:w="3640" w:type="dxa"/>
            <w:tcBorders>
              <w:top w:val="single" w:sz="8" w:space="0" w:color="D1D5DB"/>
              <w:left w:val="nil"/>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6CBC4C3C" w14:textId="77777777" w:rsidR="00A415C0" w:rsidRDefault="00A415C0">
            <w:r>
              <w:rPr>
                <w:b/>
                <w:bCs/>
                <w:color w:val="FFFFFF"/>
                <w:sz w:val="18"/>
                <w:szCs w:val="18"/>
              </w:rPr>
              <w:t>Detail &amp; Evidence</w:t>
            </w:r>
          </w:p>
        </w:tc>
        <w:tc>
          <w:tcPr>
            <w:tcW w:w="2200" w:type="dxa"/>
            <w:tcBorders>
              <w:top w:val="single" w:sz="8" w:space="0" w:color="D1D5DB"/>
              <w:left w:val="nil"/>
              <w:bottom w:val="single" w:sz="8" w:space="0" w:color="D1D5DB"/>
              <w:right w:val="single" w:sz="8" w:space="0" w:color="D1D5DB"/>
            </w:tcBorders>
            <w:shd w:val="clear" w:color="auto" w:fill="10542B"/>
            <w:tcMar>
              <w:top w:w="100" w:type="dxa"/>
              <w:left w:w="140" w:type="dxa"/>
              <w:bottom w:w="100" w:type="dxa"/>
              <w:right w:w="140" w:type="dxa"/>
            </w:tcMar>
            <w:vAlign w:val="center"/>
            <w:hideMark/>
          </w:tcPr>
          <w:p w14:paraId="0EC59821" w14:textId="77777777" w:rsidR="00A415C0" w:rsidRDefault="00A415C0">
            <w:r>
              <w:rPr>
                <w:b/>
                <w:bCs/>
                <w:color w:val="FFFFFF"/>
                <w:sz w:val="18"/>
                <w:szCs w:val="18"/>
              </w:rPr>
              <w:t>Stakeholders</w:t>
            </w:r>
          </w:p>
        </w:tc>
      </w:tr>
      <w:tr w:rsidR="00A415C0" w14:paraId="264E1DF6"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72D1DF59" w14:textId="77777777" w:rsidR="00A415C0" w:rsidRDefault="00A415C0">
            <w:r>
              <w:rPr>
                <w:b/>
                <w:bCs/>
                <w:color w:val="10542B"/>
                <w:sz w:val="18"/>
                <w:szCs w:val="18"/>
              </w:rPr>
              <w:t>NH-12</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78723C4F" w14:textId="77777777" w:rsidR="00A415C0" w:rsidRDefault="00A415C0">
            <w:r>
              <w:rPr>
                <w:b/>
                <w:bCs/>
                <w:color w:val="1A1A1A"/>
                <w:sz w:val="18"/>
                <w:szCs w:val="18"/>
              </w:rPr>
              <w:t>Unified Onboarding Ticket / Workflow</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5180A0F4" w14:textId="77777777" w:rsidR="00A415C0" w:rsidRDefault="00A415C0">
            <w:r>
              <w:rPr>
                <w:color w:val="404040"/>
                <w:sz w:val="17"/>
                <w:szCs w:val="17"/>
              </w:rPr>
              <w:t>Onboarding a new SOC analyst or distributed IT staff requires multiple separate steps and tickets. A unified onboarding ticket coordinating identity provisioning across all required systems would reduce delays.</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EAB8D07" w14:textId="77777777" w:rsidR="00A415C0" w:rsidRDefault="00A415C0">
            <w:r>
              <w:rPr>
                <w:i/>
                <w:iCs/>
                <w:color w:val="6B6B6B"/>
                <w:sz w:val="17"/>
                <w:szCs w:val="17"/>
              </w:rPr>
              <w:t>Security Ops, AITS, Academic Tech</w:t>
            </w:r>
          </w:p>
        </w:tc>
      </w:tr>
      <w:tr w:rsidR="00A415C0" w14:paraId="09C00383"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1DE026BC" w14:textId="77777777" w:rsidR="00A415C0" w:rsidRDefault="00A415C0">
            <w:r>
              <w:rPr>
                <w:b/>
                <w:bCs/>
                <w:color w:val="10542B"/>
                <w:sz w:val="18"/>
                <w:szCs w:val="18"/>
              </w:rPr>
              <w:t>NH-13</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3B3AAEE6" w14:textId="77777777" w:rsidR="00A415C0" w:rsidRDefault="00A415C0">
            <w:r>
              <w:rPr>
                <w:b/>
                <w:bCs/>
                <w:color w:val="1A1A1A"/>
                <w:sz w:val="18"/>
                <w:szCs w:val="18"/>
              </w:rPr>
              <w:t>Audit Reporting &amp; Access Certification</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555474A9" w14:textId="77777777" w:rsidR="00A415C0" w:rsidRDefault="00A415C0">
            <w:r>
              <w:rPr>
                <w:color w:val="404040"/>
                <w:sz w:val="17"/>
                <w:szCs w:val="17"/>
              </w:rPr>
              <w:t>Several units want periodic access reviews and audit reports, particularly for privileged access. No overarching identity governance or access certification capability currently exists.</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240C5FB2" w14:textId="77777777" w:rsidR="00A415C0" w:rsidRDefault="00A415C0">
            <w:r>
              <w:rPr>
                <w:i/>
                <w:iCs/>
                <w:color w:val="6B6B6B"/>
                <w:sz w:val="17"/>
                <w:szCs w:val="17"/>
              </w:rPr>
              <w:t>ERP Security, Datacomm, Risk &amp; Compliance</w:t>
            </w:r>
          </w:p>
        </w:tc>
      </w:tr>
      <w:tr w:rsidR="00A415C0" w14:paraId="01D894EB"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265375E2" w14:textId="77777777" w:rsidR="00A415C0" w:rsidRDefault="00A415C0">
            <w:r>
              <w:rPr>
                <w:b/>
                <w:bCs/>
                <w:color w:val="10542B"/>
                <w:sz w:val="18"/>
                <w:szCs w:val="18"/>
              </w:rPr>
              <w:t>NH-14</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6ADE28E7" w14:textId="77777777" w:rsidR="00A415C0" w:rsidRDefault="00A415C0">
            <w:r>
              <w:rPr>
                <w:b/>
                <w:bCs/>
                <w:color w:val="1A1A1A"/>
                <w:sz w:val="18"/>
                <w:szCs w:val="18"/>
              </w:rPr>
              <w:t>Biometric &amp; Smart Card Authentication</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67D422E5" w14:textId="77777777" w:rsidR="00A415C0" w:rsidRDefault="00A415C0">
            <w:r>
              <w:rPr>
                <w:color w:val="404040"/>
                <w:sz w:val="17"/>
                <w:szCs w:val="17"/>
              </w:rPr>
              <w:t>Academic Tech noted interest in expanding Windows Hello for Business as an alternative second factor. Smart Card (CAC) support for military-affiliated users was also cited as a need.</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504BAA7E" w14:textId="77777777" w:rsidR="00A415C0" w:rsidRDefault="00A415C0">
            <w:r>
              <w:rPr>
                <w:i/>
                <w:iCs/>
                <w:color w:val="6B6B6B"/>
                <w:sz w:val="17"/>
                <w:szCs w:val="17"/>
              </w:rPr>
              <w:t>Academic Tech</w:t>
            </w:r>
          </w:p>
        </w:tc>
      </w:tr>
      <w:tr w:rsidR="00A415C0" w14:paraId="6DB03994"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6CD5B97C" w14:textId="77777777" w:rsidR="00A415C0" w:rsidRDefault="00A415C0">
            <w:r>
              <w:rPr>
                <w:b/>
                <w:bCs/>
                <w:color w:val="10542B"/>
                <w:sz w:val="18"/>
                <w:szCs w:val="18"/>
              </w:rPr>
              <w:t>NH-15</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5E39BA24" w14:textId="77777777" w:rsidR="00A415C0" w:rsidRDefault="00A415C0">
            <w:r>
              <w:rPr>
                <w:b/>
                <w:bCs/>
                <w:color w:val="1A1A1A"/>
                <w:sz w:val="18"/>
                <w:szCs w:val="18"/>
              </w:rPr>
              <w:t>Preferred Email Routing Logic in ServiceNow</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67A6DDCD" w14:textId="77777777" w:rsidR="00A415C0" w:rsidRDefault="00A415C0">
            <w:r>
              <w:rPr>
                <w:color w:val="404040"/>
                <w:sz w:val="17"/>
                <w:szCs w:val="17"/>
              </w:rPr>
              <w:t>Users with dual identities (student and employee) can receive SNOW notifications to the wrong address. Preferred email logic in ServiceNow should be reviewed and tightened as part of migration.</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079802CD" w14:textId="77777777" w:rsidR="00A415C0" w:rsidRDefault="00A415C0">
            <w:r>
              <w:rPr>
                <w:i/>
                <w:iCs/>
                <w:color w:val="6B6B6B"/>
                <w:sz w:val="17"/>
                <w:szCs w:val="17"/>
              </w:rPr>
              <w:t>Operations</w:t>
            </w:r>
          </w:p>
        </w:tc>
      </w:tr>
    </w:tbl>
    <w:p w14:paraId="7C5533D3" w14:textId="77777777" w:rsidR="004E2E2D" w:rsidRDefault="004E2E2D">
      <w:pPr>
        <w:spacing w:after="200"/>
      </w:pPr>
    </w:p>
    <w:p w14:paraId="6BB22C72" w14:textId="781BF2C4" w:rsidR="00446801" w:rsidRDefault="00446801">
      <w:r>
        <w:br w:type="page"/>
      </w:r>
    </w:p>
    <w:p w14:paraId="500D49A5" w14:textId="77777777" w:rsidR="00DF0864" w:rsidRDefault="00DF0864" w:rsidP="00DF0864">
      <w:pPr>
        <w:pStyle w:val="Heading2"/>
        <w:rPr>
          <w:color w:val="FFFFFF" w:themeColor="background1"/>
        </w:rPr>
      </w:pPr>
      <w:r>
        <w:rPr>
          <w:color w:val="FFFFFF" w:themeColor="background1"/>
        </w:rPr>
        <w:lastRenderedPageBreak/>
        <w:t>SECTION 2.3: CAPABILITIES THAT DON'T YET EXIST</w:t>
      </w:r>
    </w:p>
    <w:tbl>
      <w:tblPr>
        <w:tblW w:w="9360" w:type="dxa"/>
        <w:tblCellMar>
          <w:left w:w="10" w:type="dxa"/>
          <w:right w:w="10" w:type="dxa"/>
        </w:tblCellMar>
        <w:tblLook w:val="04A0" w:firstRow="1" w:lastRow="0" w:firstColumn="1" w:lastColumn="0" w:noHBand="0" w:noVBand="1"/>
      </w:tblPr>
      <w:tblGrid>
        <w:gridCol w:w="9360"/>
      </w:tblGrid>
      <w:tr w:rsidR="00825888" w14:paraId="23EB6ED9" w14:textId="77777777" w:rsidTr="00825888">
        <w:tc>
          <w:tcPr>
            <w:tcW w:w="9360" w:type="dxa"/>
            <w:tcBorders>
              <w:bottom w:val="single" w:sz="4" w:space="0" w:color="FFFFFF"/>
            </w:tcBorders>
            <w:shd w:val="clear" w:color="auto" w:fill="2E8B57"/>
            <w:tcMar>
              <w:top w:w="180" w:type="dxa"/>
              <w:left w:w="360" w:type="dxa"/>
              <w:bottom w:w="180" w:type="dxa"/>
              <w:right w:w="360" w:type="dxa"/>
            </w:tcMar>
          </w:tcPr>
          <w:p w14:paraId="3533EBD7" w14:textId="14E3E936" w:rsidR="00825888" w:rsidRDefault="00825888" w:rsidP="002813E2">
            <w:pPr>
              <w:pStyle w:val="Heading2"/>
              <w:rPr>
                <w:color w:val="D1FAE5"/>
              </w:rPr>
            </w:pPr>
            <w:r>
              <w:rPr>
                <w:color w:val="FFFFFF"/>
              </w:rPr>
              <w:t>SECTION 2.3: CAPABILITIES THAT DON'T YET EXIST</w:t>
            </w:r>
          </w:p>
        </w:tc>
      </w:tr>
      <w:tr w:rsidR="00825888" w14:paraId="4AED4FF1" w14:textId="77777777" w:rsidTr="00825888">
        <w:tc>
          <w:tcPr>
            <w:tcW w:w="9360" w:type="dxa"/>
            <w:tcBorders>
              <w:top w:val="single" w:sz="4" w:space="0" w:color="FFFFFF"/>
            </w:tcBorders>
            <w:shd w:val="clear" w:color="auto" w:fill="2E8B57"/>
            <w:tcMar>
              <w:top w:w="180" w:type="dxa"/>
              <w:left w:w="360" w:type="dxa"/>
              <w:bottom w:w="180" w:type="dxa"/>
              <w:right w:w="360" w:type="dxa"/>
            </w:tcMar>
          </w:tcPr>
          <w:p w14:paraId="1A084936" w14:textId="77777777" w:rsidR="00825888" w:rsidRPr="00A61ED9" w:rsidRDefault="00825888" w:rsidP="002813E2">
            <w:pPr>
              <w:rPr>
                <w:b/>
                <w:bCs/>
              </w:rPr>
            </w:pPr>
            <w:r>
              <w:rPr>
                <w:b/>
                <w:bCs/>
                <w:color w:val="F2F2F2"/>
              </w:rPr>
              <w:t>15 requirements  |  Post-cutover roadmap  |  Phase 2 planning</w:t>
            </w:r>
          </w:p>
        </w:tc>
      </w:tr>
    </w:tbl>
    <w:p w14:paraId="23640258" w14:textId="77777777" w:rsidR="00F51DFB" w:rsidRDefault="00F51DFB">
      <w:pPr>
        <w:spacing w:after="120"/>
      </w:pPr>
    </w:p>
    <w:p w14:paraId="3BEAD280" w14:textId="77777777" w:rsidR="004E2E2D" w:rsidRDefault="00000000">
      <w:pPr>
        <w:spacing w:after="140"/>
      </w:pPr>
      <w:r>
        <w:rPr>
          <w:color w:val="1A1A1A"/>
        </w:rPr>
        <w:t>These capabilities are entirely absent from the current environment. They were either explicitly requested by stakeholders or represent clear gaps identified through the analysis. The Entra migration creates a strategic foundation for several of these — particularly Zero Trust, JIT access, and centralized audit logging. Each should be evaluated as a discrete investment item in the multi-year roadmap.</w:t>
      </w:r>
    </w:p>
    <w:p w14:paraId="7FC1BBD3" w14:textId="77777777" w:rsidR="00A415C0" w:rsidRDefault="00A415C0" w:rsidP="00A415C0">
      <w:pPr>
        <w:pStyle w:val="Heading2"/>
        <w:rPr>
          <w:kern w:val="2"/>
          <w14:ligatures w14:val="standardContextual"/>
        </w:rPr>
      </w:pPr>
      <w:r>
        <w:rPr>
          <w:color w:val="10542B"/>
        </w:rPr>
        <w:t>2.3.1   Privileged Access &amp; Security Architecture</w:t>
      </w:r>
    </w:p>
    <w:p w14:paraId="0938B52C" w14:textId="77777777" w:rsidR="004E2E2D" w:rsidRDefault="00000000">
      <w:pPr>
        <w:spacing w:after="140"/>
      </w:pPr>
      <w:r>
        <w:rPr>
          <w:color w:val="404040"/>
        </w:rPr>
        <w:t>These five requirements address the most significant structural security gaps in the current environment. None of these capabilities exist today. Several have direct dependencies on the Entra migration completing successfully.</w:t>
      </w:r>
    </w:p>
    <w:p w14:paraId="5F8AFD79" w14:textId="77777777" w:rsidR="004E2E2D" w:rsidRDefault="004E2E2D">
      <w:pPr>
        <w:spacing w:after="8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800"/>
        <w:gridCol w:w="2743"/>
        <w:gridCol w:w="3601"/>
        <w:gridCol w:w="2216"/>
      </w:tblGrid>
      <w:tr w:rsidR="00A415C0" w14:paraId="63888E5A" w14:textId="77777777">
        <w:trPr>
          <w:tblHeader/>
          <w:tblCellSpacing w:w="15" w:type="dxa"/>
        </w:trPr>
        <w:tc>
          <w:tcPr>
            <w:tcW w:w="760" w:type="dxa"/>
            <w:tcBorders>
              <w:top w:val="single" w:sz="8" w:space="0" w:color="D1D5DB"/>
              <w:left w:val="single" w:sz="8" w:space="0" w:color="D1D5DB"/>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51F9AE5F" w14:textId="77777777" w:rsidR="00A415C0" w:rsidRDefault="00A415C0">
            <w:pPr>
              <w:rPr>
                <w:kern w:val="2"/>
                <w14:ligatures w14:val="standardContextual"/>
              </w:rPr>
            </w:pPr>
            <w:r>
              <w:rPr>
                <w:b/>
                <w:bCs/>
                <w:color w:val="FFFFFF"/>
                <w:sz w:val="18"/>
                <w:szCs w:val="18"/>
              </w:rPr>
              <w:t>ID</w:t>
            </w:r>
          </w:p>
        </w:tc>
        <w:tc>
          <w:tcPr>
            <w:tcW w:w="2760" w:type="dxa"/>
            <w:tcBorders>
              <w:top w:val="single" w:sz="8" w:space="0" w:color="D1D5DB"/>
              <w:left w:val="nil"/>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72A354F5" w14:textId="77777777" w:rsidR="00A415C0" w:rsidRDefault="00A415C0">
            <w:r>
              <w:rPr>
                <w:b/>
                <w:bCs/>
                <w:color w:val="FFFFFF"/>
                <w:sz w:val="18"/>
                <w:szCs w:val="18"/>
              </w:rPr>
              <w:t>Requirement</w:t>
            </w:r>
          </w:p>
        </w:tc>
        <w:tc>
          <w:tcPr>
            <w:tcW w:w="3640" w:type="dxa"/>
            <w:tcBorders>
              <w:top w:val="single" w:sz="8" w:space="0" w:color="D1D5DB"/>
              <w:left w:val="nil"/>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7EFF4205" w14:textId="77777777" w:rsidR="00A415C0" w:rsidRDefault="00A415C0">
            <w:r>
              <w:rPr>
                <w:b/>
                <w:bCs/>
                <w:color w:val="FFFFFF"/>
                <w:sz w:val="18"/>
                <w:szCs w:val="18"/>
              </w:rPr>
              <w:t>Detail &amp; Evidence</w:t>
            </w:r>
          </w:p>
        </w:tc>
        <w:tc>
          <w:tcPr>
            <w:tcW w:w="2200" w:type="dxa"/>
            <w:tcBorders>
              <w:top w:val="single" w:sz="8" w:space="0" w:color="D1D5DB"/>
              <w:left w:val="nil"/>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2194C64F" w14:textId="77777777" w:rsidR="00A415C0" w:rsidRDefault="00A415C0">
            <w:r>
              <w:rPr>
                <w:b/>
                <w:bCs/>
                <w:color w:val="FFFFFF"/>
                <w:sz w:val="18"/>
                <w:szCs w:val="18"/>
              </w:rPr>
              <w:t>Stakeholders</w:t>
            </w:r>
          </w:p>
        </w:tc>
      </w:tr>
      <w:tr w:rsidR="00A415C0" w14:paraId="0CC79EFA"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08CA01BE" w14:textId="77777777" w:rsidR="00A415C0" w:rsidRDefault="00A415C0">
            <w:r>
              <w:rPr>
                <w:b/>
                <w:bCs/>
                <w:color w:val="2E8B57"/>
                <w:sz w:val="18"/>
                <w:szCs w:val="18"/>
              </w:rPr>
              <w:t>NE-01</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8B190D8" w14:textId="77777777" w:rsidR="00A415C0" w:rsidRDefault="00A415C0">
            <w:r>
              <w:rPr>
                <w:b/>
                <w:bCs/>
                <w:color w:val="1A1A1A"/>
                <w:sz w:val="18"/>
                <w:szCs w:val="18"/>
              </w:rPr>
              <w:t>Just-in-Time (JIT) Privileged Access with Logging</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5F0E787F" w14:textId="77777777" w:rsidR="00A415C0" w:rsidRDefault="00A415C0">
            <w:r>
              <w:rPr>
                <w:color w:val="404040"/>
                <w:sz w:val="17"/>
                <w:szCs w:val="17"/>
              </w:rPr>
              <w:t>No JIT access management capability exists. Academic Technology has formally requested JIT admin rights for 2026. A JIT solution with full audit logging would reduce standing privilege exposure enterprise-wide.</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9318BA9" w14:textId="77777777" w:rsidR="00A415C0" w:rsidRDefault="00A415C0">
            <w:r>
              <w:rPr>
                <w:i/>
                <w:iCs/>
                <w:color w:val="6B6B6B"/>
                <w:sz w:val="17"/>
                <w:szCs w:val="17"/>
              </w:rPr>
              <w:t>Academic Tech, AITS, Security Ops</w:t>
            </w:r>
          </w:p>
        </w:tc>
      </w:tr>
      <w:tr w:rsidR="00A415C0" w14:paraId="12C6361D"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612A825C" w14:textId="77777777" w:rsidR="00A415C0" w:rsidRDefault="00A415C0">
            <w:r>
              <w:rPr>
                <w:b/>
                <w:bCs/>
                <w:color w:val="2E8B57"/>
                <w:sz w:val="18"/>
                <w:szCs w:val="18"/>
              </w:rPr>
              <w:t>NE-02</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36D7DD56" w14:textId="77777777" w:rsidR="00A415C0" w:rsidRDefault="00A415C0">
            <w:r>
              <w:rPr>
                <w:b/>
                <w:bCs/>
                <w:color w:val="1A1A1A"/>
                <w:sz w:val="18"/>
                <w:szCs w:val="18"/>
              </w:rPr>
              <w:t>Automated Contractor / Temp Access Expiration</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125304E3" w14:textId="77777777" w:rsidR="00A415C0" w:rsidRDefault="00A415C0">
            <w:r>
              <w:rPr>
                <w:color w:val="404040"/>
                <w:sz w:val="17"/>
                <w:szCs w:val="17"/>
              </w:rPr>
              <w:t>No automated mechanism exists to expire contractor, temp, or POI access on a specified date. Contractors are rarely deprovisioned on time and there is no notification or enforcement mechanism.</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15EF275F" w14:textId="77777777" w:rsidR="00A415C0" w:rsidRDefault="00A415C0">
            <w:r>
              <w:rPr>
                <w:i/>
                <w:iCs/>
                <w:color w:val="6B6B6B"/>
                <w:sz w:val="17"/>
                <w:szCs w:val="17"/>
              </w:rPr>
              <w:t>Operations, ERP Security, Risk &amp; Compliance</w:t>
            </w:r>
          </w:p>
        </w:tc>
      </w:tr>
      <w:tr w:rsidR="00A415C0" w14:paraId="3025595C"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5916BEC4" w14:textId="77777777" w:rsidR="00A415C0" w:rsidRDefault="00A415C0">
            <w:r>
              <w:rPr>
                <w:b/>
                <w:bCs/>
                <w:color w:val="2E8B57"/>
                <w:sz w:val="18"/>
                <w:szCs w:val="18"/>
              </w:rPr>
              <w:t>NE-03</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58A142F0" w14:textId="77777777" w:rsidR="00A415C0" w:rsidRDefault="00A415C0">
            <w:r>
              <w:rPr>
                <w:b/>
                <w:bCs/>
                <w:color w:val="1A1A1A"/>
                <w:sz w:val="18"/>
                <w:szCs w:val="18"/>
              </w:rPr>
              <w:t>Identity Lifecycle Event Notification Framework</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3D91D3F2" w14:textId="77777777" w:rsidR="00A415C0" w:rsidRDefault="00A415C0">
            <w:r>
              <w:rPr>
                <w:color w:val="404040"/>
                <w:sz w:val="17"/>
                <w:szCs w:val="17"/>
              </w:rPr>
              <w:t>When a user's status changes, dependent application owners are not automatically notified. Systems like Perceptive Content, PeopleSoft, and Sentinel rely on manual processes or batch files. An event-driven notification framework does not exist.</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1E7CADD4" w14:textId="77777777" w:rsidR="00A415C0" w:rsidRDefault="00A415C0">
            <w:r>
              <w:rPr>
                <w:i/>
                <w:iCs/>
                <w:color w:val="6B6B6B"/>
                <w:sz w:val="17"/>
                <w:szCs w:val="17"/>
              </w:rPr>
              <w:t>ERP Security, Imaging, AITS, CS AD-SF</w:t>
            </w:r>
          </w:p>
        </w:tc>
      </w:tr>
      <w:tr w:rsidR="00A415C0" w14:paraId="6B565FD4"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23E1F2DE" w14:textId="77777777" w:rsidR="00A415C0" w:rsidRDefault="00A415C0">
            <w:r>
              <w:rPr>
                <w:b/>
                <w:bCs/>
                <w:color w:val="2E8B57"/>
                <w:sz w:val="18"/>
                <w:szCs w:val="18"/>
              </w:rPr>
              <w:t>NE-04</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2E2EFD53" w14:textId="77777777" w:rsidR="00A415C0" w:rsidRDefault="00A415C0">
            <w:r>
              <w:rPr>
                <w:b/>
                <w:bCs/>
                <w:color w:val="1A1A1A"/>
                <w:sz w:val="18"/>
                <w:szCs w:val="18"/>
              </w:rPr>
              <w:t>Centralized Identity Audit Log (Standardized Format)</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5BB9285A" w14:textId="77777777" w:rsidR="00A415C0" w:rsidRDefault="00A415C0">
            <w:r>
              <w:rPr>
                <w:color w:val="404040"/>
                <w:sz w:val="17"/>
                <w:szCs w:val="17"/>
              </w:rPr>
              <w:t>No centralized, standardized identity audit log exists. Scripts are poorly logged and deviations between on-prem and cloud create blind spots. A syslog/JSON log pipeline feeding a SIEM does not currently exist.</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694DDE4F" w14:textId="77777777" w:rsidR="00A415C0" w:rsidRDefault="00A415C0">
            <w:r>
              <w:rPr>
                <w:i/>
                <w:iCs/>
                <w:color w:val="6B6B6B"/>
                <w:sz w:val="17"/>
                <w:szCs w:val="17"/>
              </w:rPr>
              <w:t>Security Ops, Datacomm, Risk &amp; Compliance</w:t>
            </w:r>
          </w:p>
        </w:tc>
      </w:tr>
      <w:tr w:rsidR="00A415C0" w14:paraId="060ADD76"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6BA72DC4" w14:textId="77777777" w:rsidR="00A415C0" w:rsidRDefault="00A415C0">
            <w:r>
              <w:rPr>
                <w:b/>
                <w:bCs/>
                <w:color w:val="2E8B57"/>
                <w:sz w:val="18"/>
                <w:szCs w:val="18"/>
              </w:rPr>
              <w:t>NE-05</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0793ABD2" w14:textId="77777777" w:rsidR="00A415C0" w:rsidRDefault="00A415C0">
            <w:r>
              <w:rPr>
                <w:b/>
                <w:bCs/>
                <w:color w:val="1A1A1A"/>
                <w:sz w:val="18"/>
                <w:szCs w:val="18"/>
              </w:rPr>
              <w:t>Zero Trust Architecture</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7335541" w14:textId="77777777" w:rsidR="00A415C0" w:rsidRDefault="00A415C0">
            <w:r>
              <w:rPr>
                <w:color w:val="404040"/>
                <w:sz w:val="17"/>
                <w:szCs w:val="17"/>
              </w:rPr>
              <w:t>Academic Technology identified Zero Trust as a security roadmap goal. No Zero Trust architecture (continuous verification, least-privilege enforcement, microsegmentation) is currently in place. This would be enabled by Entra Conditional Access and PIM.</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175A80C6" w14:textId="77777777" w:rsidR="00A415C0" w:rsidRDefault="00A415C0">
            <w:r>
              <w:rPr>
                <w:i/>
                <w:iCs/>
                <w:color w:val="6B6B6B"/>
                <w:sz w:val="17"/>
                <w:szCs w:val="17"/>
              </w:rPr>
              <w:t>Academic Tech, Security Ops</w:t>
            </w:r>
          </w:p>
        </w:tc>
      </w:tr>
    </w:tbl>
    <w:p w14:paraId="1C56D5A3" w14:textId="77777777" w:rsidR="004E2E2D" w:rsidRDefault="004E2E2D">
      <w:pPr>
        <w:spacing w:after="200"/>
      </w:pPr>
    </w:p>
    <w:p w14:paraId="6A56C0D8" w14:textId="77777777" w:rsidR="00A415C0" w:rsidRDefault="00A415C0" w:rsidP="00A415C0">
      <w:pPr>
        <w:pStyle w:val="Heading2"/>
        <w:pageBreakBefore/>
        <w:pBdr>
          <w:top w:val="single" w:sz="1" w:space="18" w:color="FFFFFF"/>
        </w:pBdr>
        <w:rPr>
          <w:kern w:val="2"/>
          <w14:ligatures w14:val="standardContextual"/>
        </w:rPr>
      </w:pPr>
      <w:r>
        <w:rPr>
          <w:color w:val="10542B"/>
        </w:rPr>
        <w:lastRenderedPageBreak/>
        <w:t>2.3.2   Lifecycle Automation &amp; Provisioning</w:t>
      </w:r>
    </w:p>
    <w:p w14:paraId="4261C2FF" w14:textId="77777777" w:rsidR="004E2E2D" w:rsidRDefault="00000000">
      <w:pPr>
        <w:spacing w:after="140"/>
      </w:pPr>
      <w:r>
        <w:rPr>
          <w:color w:val="404040"/>
        </w:rPr>
        <w:t>These requirements address automation gaps where manual processes currently create risk or inefficiency. Several are upstream dependencies for capabilities in other sections — particularly automated deprovisioning and the CAMReq replacement.</w:t>
      </w:r>
    </w:p>
    <w:p w14:paraId="3B828CA6" w14:textId="77777777" w:rsidR="004E2E2D" w:rsidRDefault="004E2E2D">
      <w:pPr>
        <w:spacing w:after="8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801"/>
        <w:gridCol w:w="2746"/>
        <w:gridCol w:w="3594"/>
        <w:gridCol w:w="2219"/>
      </w:tblGrid>
      <w:tr w:rsidR="00A415C0" w14:paraId="318B2DDA" w14:textId="77777777">
        <w:trPr>
          <w:tblHeader/>
          <w:tblCellSpacing w:w="15" w:type="dxa"/>
        </w:trPr>
        <w:tc>
          <w:tcPr>
            <w:tcW w:w="760" w:type="dxa"/>
            <w:tcBorders>
              <w:top w:val="single" w:sz="8" w:space="0" w:color="D1D5DB"/>
              <w:left w:val="single" w:sz="8" w:space="0" w:color="D1D5DB"/>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65F2F2A2" w14:textId="77777777" w:rsidR="00A415C0" w:rsidRDefault="00A415C0">
            <w:pPr>
              <w:rPr>
                <w:kern w:val="2"/>
                <w14:ligatures w14:val="standardContextual"/>
              </w:rPr>
            </w:pPr>
            <w:r>
              <w:rPr>
                <w:b/>
                <w:bCs/>
                <w:color w:val="FFFFFF"/>
                <w:sz w:val="18"/>
                <w:szCs w:val="18"/>
              </w:rPr>
              <w:t>ID</w:t>
            </w:r>
          </w:p>
        </w:tc>
        <w:tc>
          <w:tcPr>
            <w:tcW w:w="2760" w:type="dxa"/>
            <w:tcBorders>
              <w:top w:val="single" w:sz="8" w:space="0" w:color="D1D5DB"/>
              <w:left w:val="nil"/>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34531E2C" w14:textId="77777777" w:rsidR="00A415C0" w:rsidRDefault="00A415C0">
            <w:r>
              <w:rPr>
                <w:b/>
                <w:bCs/>
                <w:color w:val="FFFFFF"/>
                <w:sz w:val="18"/>
                <w:szCs w:val="18"/>
              </w:rPr>
              <w:t>Requirement</w:t>
            </w:r>
          </w:p>
        </w:tc>
        <w:tc>
          <w:tcPr>
            <w:tcW w:w="3640" w:type="dxa"/>
            <w:tcBorders>
              <w:top w:val="single" w:sz="8" w:space="0" w:color="D1D5DB"/>
              <w:left w:val="nil"/>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73B95858" w14:textId="77777777" w:rsidR="00A415C0" w:rsidRDefault="00A415C0">
            <w:r>
              <w:rPr>
                <w:b/>
                <w:bCs/>
                <w:color w:val="FFFFFF"/>
                <w:sz w:val="18"/>
                <w:szCs w:val="18"/>
              </w:rPr>
              <w:t>Detail &amp; Evidence</w:t>
            </w:r>
          </w:p>
        </w:tc>
        <w:tc>
          <w:tcPr>
            <w:tcW w:w="2200" w:type="dxa"/>
            <w:tcBorders>
              <w:top w:val="single" w:sz="8" w:space="0" w:color="D1D5DB"/>
              <w:left w:val="nil"/>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287F2A6C" w14:textId="77777777" w:rsidR="00A415C0" w:rsidRDefault="00A415C0">
            <w:r>
              <w:rPr>
                <w:b/>
                <w:bCs/>
                <w:color w:val="FFFFFF"/>
                <w:sz w:val="18"/>
                <w:szCs w:val="18"/>
              </w:rPr>
              <w:t>Stakeholders</w:t>
            </w:r>
          </w:p>
        </w:tc>
      </w:tr>
      <w:tr w:rsidR="00A415C0" w14:paraId="14983BD4"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36ADC03" w14:textId="77777777" w:rsidR="00A415C0" w:rsidRDefault="00A415C0">
            <w:r>
              <w:rPr>
                <w:b/>
                <w:bCs/>
                <w:color w:val="2E8B57"/>
                <w:sz w:val="18"/>
                <w:szCs w:val="18"/>
              </w:rPr>
              <w:t>NE-06</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7587346E" w14:textId="77777777" w:rsidR="00A415C0" w:rsidRDefault="00A415C0">
            <w:r>
              <w:rPr>
                <w:b/>
                <w:bCs/>
                <w:color w:val="1A1A1A"/>
                <w:sz w:val="18"/>
                <w:szCs w:val="18"/>
              </w:rPr>
              <w:t>Automated CAMReq Replacement for All Hire Types</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5EF35BE4" w14:textId="77777777" w:rsidR="00A415C0" w:rsidRDefault="00A415C0">
            <w:r>
              <w:rPr>
                <w:color w:val="404040"/>
                <w:sz w:val="17"/>
                <w:szCs w:val="17"/>
              </w:rPr>
              <w:t>The current CAMReq process is manual and does not handle POIs or non-standard hires well. ERP Security explicitly identified replacing CAMReq with an automated process covering faculty, staff, and POIs as a desired outcome.</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39192474" w14:textId="77777777" w:rsidR="00A415C0" w:rsidRDefault="00A415C0">
            <w:r>
              <w:rPr>
                <w:i/>
                <w:iCs/>
                <w:color w:val="6B6B6B"/>
                <w:sz w:val="17"/>
                <w:szCs w:val="17"/>
              </w:rPr>
              <w:t>ERP Security, Business Offices</w:t>
            </w:r>
          </w:p>
        </w:tc>
      </w:tr>
      <w:tr w:rsidR="00A415C0" w14:paraId="4D4006B1"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2F3BE4A5" w14:textId="77777777" w:rsidR="00A415C0" w:rsidRDefault="00A415C0">
            <w:r>
              <w:rPr>
                <w:b/>
                <w:bCs/>
                <w:color w:val="2E8B57"/>
                <w:sz w:val="18"/>
                <w:szCs w:val="18"/>
              </w:rPr>
              <w:t>NE-07</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27BF635D" w14:textId="77777777" w:rsidR="00A415C0" w:rsidRDefault="00A415C0">
            <w:r>
              <w:rPr>
                <w:b/>
                <w:bCs/>
                <w:color w:val="1A1A1A"/>
                <w:sz w:val="18"/>
                <w:szCs w:val="18"/>
              </w:rPr>
              <w:t>Universal Enterprise 'Student' Definition</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74539CF5" w14:textId="77777777" w:rsidR="00A415C0" w:rsidRDefault="00A415C0">
            <w:r>
              <w:rPr>
                <w:color w:val="404040"/>
                <w:sz w:val="17"/>
                <w:szCs w:val="17"/>
              </w:rPr>
              <w:t>No consistent enterprise-wide definition of who qualifies as a 'student' exists for identity provisioning and access grants. Different systems apply different rules, creating downstream inconsistency across PeopleSoft, academic tools, and library systems.</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46B9495B" w14:textId="77777777" w:rsidR="00A415C0" w:rsidRDefault="00A415C0">
            <w:r>
              <w:rPr>
                <w:i/>
                <w:iCs/>
                <w:color w:val="6B6B6B"/>
                <w:sz w:val="17"/>
                <w:szCs w:val="17"/>
              </w:rPr>
              <w:t>CS SR-FA, Academic Tech, ERP Security</w:t>
            </w:r>
          </w:p>
        </w:tc>
      </w:tr>
      <w:tr w:rsidR="00A415C0" w14:paraId="2CE758F3"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2C4D9DF4" w14:textId="77777777" w:rsidR="00A415C0" w:rsidRDefault="00A415C0">
            <w:r>
              <w:rPr>
                <w:b/>
                <w:bCs/>
                <w:color w:val="2E8B57"/>
                <w:sz w:val="18"/>
                <w:szCs w:val="18"/>
              </w:rPr>
              <w:t>NE-08</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38B15177" w14:textId="77777777" w:rsidR="00A415C0" w:rsidRDefault="00A415C0">
            <w:r>
              <w:rPr>
                <w:b/>
                <w:bCs/>
                <w:color w:val="1A1A1A"/>
                <w:sz w:val="18"/>
                <w:szCs w:val="18"/>
              </w:rPr>
              <w:t>Event-Scoped Temporary Account Provisioning</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058F0213" w14:textId="77777777" w:rsidR="00A415C0" w:rsidRDefault="00A415C0">
            <w:r>
              <w:rPr>
                <w:color w:val="404040"/>
                <w:sz w:val="17"/>
                <w:szCs w:val="17"/>
              </w:rPr>
              <w:t>AITS cited the need for accounts scoped to a specific event or time period rather than creating hundreds of individual accounts. No event-account provisioning capability currently exists.</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5A4F3D16" w14:textId="77777777" w:rsidR="00A415C0" w:rsidRDefault="00A415C0">
            <w:r>
              <w:rPr>
                <w:i/>
                <w:iCs/>
                <w:color w:val="6B6B6B"/>
                <w:sz w:val="17"/>
                <w:szCs w:val="17"/>
              </w:rPr>
              <w:t>AITS</w:t>
            </w:r>
          </w:p>
        </w:tc>
      </w:tr>
      <w:tr w:rsidR="00A415C0" w14:paraId="251A8470"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424C2198" w14:textId="77777777" w:rsidR="00A415C0" w:rsidRDefault="00A415C0">
            <w:r>
              <w:rPr>
                <w:b/>
                <w:bCs/>
                <w:color w:val="2E8B57"/>
                <w:sz w:val="18"/>
                <w:szCs w:val="18"/>
              </w:rPr>
              <w:t>NE-09</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7DB18A59" w14:textId="77777777" w:rsidR="00A415C0" w:rsidRDefault="00A415C0">
            <w:r>
              <w:rPr>
                <w:b/>
                <w:bCs/>
                <w:color w:val="1A1A1A"/>
                <w:sz w:val="18"/>
                <w:szCs w:val="18"/>
              </w:rPr>
              <w:t>Enterprise Privileged Access Management (PAM) Solution</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1F157923" w14:textId="77777777" w:rsidR="00A415C0" w:rsidRDefault="00A415C0">
            <w:r>
              <w:rPr>
                <w:color w:val="404040"/>
                <w:sz w:val="17"/>
                <w:szCs w:val="17"/>
              </w:rPr>
              <w:t>ERP Applications referenced a PAM solution for PeopleSoft admin access. No enterprise PAM solution exists for managing, vaulting, and auditing privileged credentials across application and server tiers.</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15D4F07C" w14:textId="77777777" w:rsidR="00A415C0" w:rsidRDefault="00A415C0">
            <w:r>
              <w:rPr>
                <w:i/>
                <w:iCs/>
                <w:color w:val="6B6B6B"/>
                <w:sz w:val="17"/>
                <w:szCs w:val="17"/>
              </w:rPr>
              <w:t>ERP Applications, Security Ops, AITS</w:t>
            </w:r>
          </w:p>
        </w:tc>
      </w:tr>
      <w:tr w:rsidR="00A415C0" w14:paraId="0FF77F30"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055789CB" w14:textId="77777777" w:rsidR="00A415C0" w:rsidRDefault="00A415C0">
            <w:r>
              <w:rPr>
                <w:b/>
                <w:bCs/>
                <w:color w:val="2E8B57"/>
                <w:sz w:val="18"/>
                <w:szCs w:val="18"/>
              </w:rPr>
              <w:t>NE-10</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0A4DE0B4" w14:textId="77777777" w:rsidR="00A415C0" w:rsidRDefault="00A415C0">
            <w:r>
              <w:rPr>
                <w:b/>
                <w:bCs/>
                <w:color w:val="1A1A1A"/>
                <w:sz w:val="18"/>
                <w:szCs w:val="18"/>
              </w:rPr>
              <w:t>Identity System Performance Monitoring &amp; Alerting</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68B21674" w14:textId="77777777" w:rsidR="00A415C0" w:rsidRDefault="00A415C0">
            <w:r>
              <w:rPr>
                <w:color w:val="404040"/>
                <w:sz w:val="17"/>
                <w:szCs w:val="17"/>
              </w:rPr>
              <w:t>Identity service availability and response times are monitored only via customer-reported tickets. No proactive monitoring of authentication response times, concurrent load, or availability exists for any identity system.</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131461C5" w14:textId="77777777" w:rsidR="00A415C0" w:rsidRDefault="00A415C0">
            <w:r>
              <w:rPr>
                <w:i/>
                <w:iCs/>
                <w:color w:val="6B6B6B"/>
                <w:sz w:val="17"/>
                <w:szCs w:val="17"/>
              </w:rPr>
              <w:t>AITS, Academic Tech, Security Ops</w:t>
            </w:r>
          </w:p>
        </w:tc>
      </w:tr>
    </w:tbl>
    <w:p w14:paraId="77C9859A" w14:textId="77777777" w:rsidR="004E2E2D" w:rsidRDefault="004E2E2D">
      <w:pPr>
        <w:spacing w:after="200"/>
      </w:pPr>
    </w:p>
    <w:p w14:paraId="2559F42C" w14:textId="77777777" w:rsidR="00A415C0" w:rsidRDefault="00A415C0" w:rsidP="00A415C0">
      <w:pPr>
        <w:pStyle w:val="Heading2"/>
        <w:pageBreakBefore/>
        <w:pBdr>
          <w:top w:val="single" w:sz="1" w:space="18" w:color="FFFFFF"/>
        </w:pBdr>
        <w:rPr>
          <w:kern w:val="2"/>
          <w14:ligatures w14:val="standardContextual"/>
        </w:rPr>
      </w:pPr>
      <w:r>
        <w:rPr>
          <w:color w:val="10542B"/>
        </w:rPr>
        <w:lastRenderedPageBreak/>
        <w:t>2.3.3   Governance &amp; Technical Debt</w:t>
      </w:r>
    </w:p>
    <w:p w14:paraId="629E6865" w14:textId="77777777" w:rsidR="004E2E2D" w:rsidRDefault="00000000">
      <w:pPr>
        <w:spacing w:after="140"/>
      </w:pPr>
      <w:r>
        <w:rPr>
          <w:color w:val="404040"/>
        </w:rPr>
        <w:t>These requirements address longstanding technical debt and governance gaps that have accumulated over years. They are not quick fixes, but the Entra migration provides the forcing function to begin addressing them systematically.</w:t>
      </w:r>
    </w:p>
    <w:p w14:paraId="7217C74D" w14:textId="77777777" w:rsidR="004E2E2D" w:rsidRDefault="004E2E2D">
      <w:pPr>
        <w:spacing w:after="80"/>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800"/>
        <w:gridCol w:w="2733"/>
        <w:gridCol w:w="3615"/>
        <w:gridCol w:w="2212"/>
      </w:tblGrid>
      <w:tr w:rsidR="00A415C0" w14:paraId="62F641F1" w14:textId="77777777">
        <w:trPr>
          <w:tblHeader/>
          <w:tblCellSpacing w:w="15" w:type="dxa"/>
        </w:trPr>
        <w:tc>
          <w:tcPr>
            <w:tcW w:w="760" w:type="dxa"/>
            <w:tcBorders>
              <w:top w:val="single" w:sz="8" w:space="0" w:color="D1D5DB"/>
              <w:left w:val="single" w:sz="8" w:space="0" w:color="D1D5DB"/>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08587723" w14:textId="77777777" w:rsidR="00A415C0" w:rsidRDefault="00A415C0">
            <w:pPr>
              <w:rPr>
                <w:kern w:val="2"/>
                <w14:ligatures w14:val="standardContextual"/>
              </w:rPr>
            </w:pPr>
            <w:r>
              <w:rPr>
                <w:b/>
                <w:bCs/>
                <w:color w:val="FFFFFF"/>
                <w:sz w:val="18"/>
                <w:szCs w:val="18"/>
              </w:rPr>
              <w:t>ID</w:t>
            </w:r>
          </w:p>
        </w:tc>
        <w:tc>
          <w:tcPr>
            <w:tcW w:w="2760" w:type="dxa"/>
            <w:tcBorders>
              <w:top w:val="single" w:sz="8" w:space="0" w:color="D1D5DB"/>
              <w:left w:val="nil"/>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44DF37AE" w14:textId="77777777" w:rsidR="00A415C0" w:rsidRDefault="00A415C0">
            <w:r>
              <w:rPr>
                <w:b/>
                <w:bCs/>
                <w:color w:val="FFFFFF"/>
                <w:sz w:val="18"/>
                <w:szCs w:val="18"/>
              </w:rPr>
              <w:t>Requirement</w:t>
            </w:r>
          </w:p>
        </w:tc>
        <w:tc>
          <w:tcPr>
            <w:tcW w:w="3640" w:type="dxa"/>
            <w:tcBorders>
              <w:top w:val="single" w:sz="8" w:space="0" w:color="D1D5DB"/>
              <w:left w:val="nil"/>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4267F05E" w14:textId="77777777" w:rsidR="00A415C0" w:rsidRDefault="00A415C0">
            <w:r>
              <w:rPr>
                <w:b/>
                <w:bCs/>
                <w:color w:val="FFFFFF"/>
                <w:sz w:val="18"/>
                <w:szCs w:val="18"/>
              </w:rPr>
              <w:t>Detail &amp; Evidence</w:t>
            </w:r>
          </w:p>
        </w:tc>
        <w:tc>
          <w:tcPr>
            <w:tcW w:w="2200" w:type="dxa"/>
            <w:tcBorders>
              <w:top w:val="single" w:sz="8" w:space="0" w:color="D1D5DB"/>
              <w:left w:val="nil"/>
              <w:bottom w:val="single" w:sz="8" w:space="0" w:color="D1D5DB"/>
              <w:right w:val="single" w:sz="8" w:space="0" w:color="D1D5DB"/>
            </w:tcBorders>
            <w:shd w:val="clear" w:color="auto" w:fill="2E8B57"/>
            <w:tcMar>
              <w:top w:w="100" w:type="dxa"/>
              <w:left w:w="140" w:type="dxa"/>
              <w:bottom w:w="100" w:type="dxa"/>
              <w:right w:w="140" w:type="dxa"/>
            </w:tcMar>
            <w:vAlign w:val="center"/>
            <w:hideMark/>
          </w:tcPr>
          <w:p w14:paraId="287D1E0B" w14:textId="77777777" w:rsidR="00A415C0" w:rsidRDefault="00A415C0">
            <w:r>
              <w:rPr>
                <w:b/>
                <w:bCs/>
                <w:color w:val="FFFFFF"/>
                <w:sz w:val="18"/>
                <w:szCs w:val="18"/>
              </w:rPr>
              <w:t>Stakeholders</w:t>
            </w:r>
          </w:p>
        </w:tc>
      </w:tr>
      <w:tr w:rsidR="00A415C0" w14:paraId="045E33F1"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1C4CB25D" w14:textId="77777777" w:rsidR="00A415C0" w:rsidRDefault="00A415C0">
            <w:r>
              <w:rPr>
                <w:b/>
                <w:bCs/>
                <w:color w:val="2E8B57"/>
                <w:sz w:val="18"/>
                <w:szCs w:val="18"/>
              </w:rPr>
              <w:t>NE-11</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5635E45" w14:textId="77777777" w:rsidR="00A415C0" w:rsidRDefault="00A415C0">
            <w:r>
              <w:rPr>
                <w:b/>
                <w:bCs/>
                <w:color w:val="1A1A1A"/>
                <w:sz w:val="18"/>
                <w:szCs w:val="18"/>
              </w:rPr>
              <w:t>PeopleSoft Security Redesign for Access Automation</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102457A8" w14:textId="77777777" w:rsidR="00A415C0" w:rsidRDefault="00A415C0">
            <w:r>
              <w:rPr>
                <w:color w:val="404040"/>
                <w:sz w:val="17"/>
                <w:szCs w:val="17"/>
              </w:rPr>
              <w:t>PeopleSoft has significant over-allocation of access. A redesign of PS role definitions is needed before automated provisioning/deprovisioning can be implemented. This is a foundational dependency for future automation.</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5D4392A9" w14:textId="77777777" w:rsidR="00A415C0" w:rsidRDefault="00A415C0">
            <w:r>
              <w:rPr>
                <w:i/>
                <w:iCs/>
                <w:color w:val="6B6B6B"/>
                <w:sz w:val="17"/>
                <w:szCs w:val="17"/>
              </w:rPr>
              <w:t>ERP Security</w:t>
            </w:r>
          </w:p>
        </w:tc>
      </w:tr>
      <w:tr w:rsidR="00A415C0" w14:paraId="6E59A7AA"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2CFB5029" w14:textId="77777777" w:rsidR="00A415C0" w:rsidRDefault="00A415C0">
            <w:r>
              <w:rPr>
                <w:b/>
                <w:bCs/>
                <w:color w:val="2E8B57"/>
                <w:sz w:val="18"/>
                <w:szCs w:val="18"/>
              </w:rPr>
              <w:t>NE-12</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403F03CB" w14:textId="77777777" w:rsidR="00A415C0" w:rsidRDefault="00A415C0">
            <w:r>
              <w:rPr>
                <w:b/>
                <w:bCs/>
                <w:color w:val="1A1A1A"/>
                <w:sz w:val="18"/>
                <w:szCs w:val="18"/>
              </w:rPr>
              <w:t>Enterprise Segregation of Duties Enforcement</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4C8166DA" w14:textId="77777777" w:rsidR="00A415C0" w:rsidRDefault="00A415C0">
            <w:r>
              <w:rPr>
                <w:color w:val="404040"/>
                <w:sz w:val="17"/>
                <w:szCs w:val="17"/>
              </w:rPr>
              <w:t>SoD reporting exists in Sentinel for PeopleSoft, but no enterprise-wide SoD enforcement covers the broader identity ecosystem. Security Operations cannot perform SoD checks across systems.</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1B538673" w14:textId="77777777" w:rsidR="00A415C0" w:rsidRDefault="00A415C0">
            <w:r>
              <w:rPr>
                <w:i/>
                <w:iCs/>
                <w:color w:val="6B6B6B"/>
                <w:sz w:val="17"/>
                <w:szCs w:val="17"/>
              </w:rPr>
              <w:t>ERP Security, Security Ops, Risk &amp; Compliance</w:t>
            </w:r>
          </w:p>
        </w:tc>
      </w:tr>
      <w:tr w:rsidR="00A415C0" w14:paraId="0D8826A5"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00822650" w14:textId="77777777" w:rsidR="00A415C0" w:rsidRDefault="00A415C0">
            <w:r>
              <w:rPr>
                <w:b/>
                <w:bCs/>
                <w:color w:val="2E8B57"/>
                <w:sz w:val="18"/>
                <w:szCs w:val="18"/>
              </w:rPr>
              <w:t>NE-13</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1C0480CA" w14:textId="77777777" w:rsidR="00A415C0" w:rsidRDefault="00A415C0">
            <w:r>
              <w:rPr>
                <w:b/>
                <w:bCs/>
                <w:color w:val="1A1A1A"/>
                <w:sz w:val="18"/>
                <w:szCs w:val="18"/>
              </w:rPr>
              <w:t>Periodic Access Review / Certification Campaigns</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73CD81EC" w14:textId="77777777" w:rsidR="00A415C0" w:rsidRDefault="00A415C0">
            <w:r>
              <w:rPr>
                <w:color w:val="404040"/>
                <w:sz w:val="17"/>
                <w:szCs w:val="17"/>
              </w:rPr>
              <w:t>No structured access certification process exists. Datacomm and ERP Security noted they do not know who currently has access to their systems. A formal access review capability does not exist.</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2DFE3D73" w14:textId="77777777" w:rsidR="00A415C0" w:rsidRDefault="00A415C0">
            <w:r>
              <w:rPr>
                <w:i/>
                <w:iCs/>
                <w:color w:val="6B6B6B"/>
                <w:sz w:val="17"/>
                <w:szCs w:val="17"/>
              </w:rPr>
              <w:t>Datacomm, ERP Security, Security Ops</w:t>
            </w:r>
          </w:p>
        </w:tc>
      </w:tr>
      <w:tr w:rsidR="00A415C0" w14:paraId="200A6A39"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3B3F2E75" w14:textId="77777777" w:rsidR="00A415C0" w:rsidRDefault="00A415C0">
            <w:r>
              <w:rPr>
                <w:b/>
                <w:bCs/>
                <w:color w:val="2E8B57"/>
                <w:sz w:val="18"/>
                <w:szCs w:val="18"/>
              </w:rPr>
              <w:t>NE-14</w:t>
            </w:r>
          </w:p>
        </w:tc>
        <w:tc>
          <w:tcPr>
            <w:tcW w:w="276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01E5FFEC" w14:textId="77777777" w:rsidR="00A415C0" w:rsidRDefault="00A415C0">
            <w:r>
              <w:rPr>
                <w:b/>
                <w:bCs/>
                <w:color w:val="1A1A1A"/>
                <w:sz w:val="18"/>
                <w:szCs w:val="18"/>
              </w:rPr>
              <w:t>Applicant Identity Provisioning Without Full License Cost</w:t>
            </w:r>
          </w:p>
        </w:tc>
        <w:tc>
          <w:tcPr>
            <w:tcW w:w="364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6F97A3CC" w14:textId="77777777" w:rsidR="00A415C0" w:rsidRDefault="00A415C0">
            <w:r>
              <w:rPr>
                <w:color w:val="404040"/>
                <w:sz w:val="17"/>
                <w:szCs w:val="17"/>
              </w:rPr>
              <w:t>CS AD-SF stopped provisioning applicants in Entra due to license consumption. A mechanism to provide limited applicant-scoped provisioning sufficient for PeopleSoft SSO — without full Entra licenses — does not exist.</w:t>
            </w:r>
          </w:p>
        </w:tc>
        <w:tc>
          <w:tcPr>
            <w:tcW w:w="2200" w:type="dxa"/>
            <w:tcBorders>
              <w:top w:val="nil"/>
              <w:left w:val="nil"/>
              <w:bottom w:val="single" w:sz="8" w:space="0" w:color="D1D5DB"/>
              <w:right w:val="single" w:sz="8" w:space="0" w:color="D1D5DB"/>
            </w:tcBorders>
            <w:shd w:val="clear" w:color="auto" w:fill="F0F4F1"/>
            <w:tcMar>
              <w:top w:w="100" w:type="dxa"/>
              <w:left w:w="140" w:type="dxa"/>
              <w:bottom w:w="100" w:type="dxa"/>
              <w:right w:w="140" w:type="dxa"/>
            </w:tcMar>
            <w:vAlign w:val="center"/>
            <w:hideMark/>
          </w:tcPr>
          <w:p w14:paraId="2773C99E" w14:textId="77777777" w:rsidR="00A415C0" w:rsidRDefault="00A415C0">
            <w:r>
              <w:rPr>
                <w:i/>
                <w:iCs/>
                <w:color w:val="6B6B6B"/>
                <w:sz w:val="17"/>
                <w:szCs w:val="17"/>
              </w:rPr>
              <w:t>CS AD-SF, ERP Security</w:t>
            </w:r>
          </w:p>
        </w:tc>
      </w:tr>
      <w:tr w:rsidR="00A415C0" w14:paraId="2F37EDF4" w14:textId="77777777">
        <w:trPr>
          <w:tblCellSpacing w:w="15" w:type="dxa"/>
        </w:trPr>
        <w:tc>
          <w:tcPr>
            <w:tcW w:w="760" w:type="dxa"/>
            <w:tcBorders>
              <w:top w:val="nil"/>
              <w:left w:val="single" w:sz="8" w:space="0" w:color="D1D5DB"/>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A99CC8C" w14:textId="77777777" w:rsidR="00A415C0" w:rsidRDefault="00A415C0">
            <w:r>
              <w:rPr>
                <w:b/>
                <w:bCs/>
                <w:color w:val="2E8B57"/>
                <w:sz w:val="18"/>
                <w:szCs w:val="18"/>
              </w:rPr>
              <w:t>NE-15</w:t>
            </w:r>
          </w:p>
        </w:tc>
        <w:tc>
          <w:tcPr>
            <w:tcW w:w="276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0948E769" w14:textId="77777777" w:rsidR="00A415C0" w:rsidRDefault="00A415C0">
            <w:r>
              <w:rPr>
                <w:b/>
                <w:bCs/>
                <w:color w:val="1A1A1A"/>
                <w:sz w:val="18"/>
                <w:szCs w:val="18"/>
              </w:rPr>
              <w:t>ACES Technical Debt Remediation</w:t>
            </w:r>
          </w:p>
        </w:tc>
        <w:tc>
          <w:tcPr>
            <w:tcW w:w="364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4CE264BC" w14:textId="77777777" w:rsidR="00A415C0" w:rsidRDefault="00A415C0">
            <w:r>
              <w:rPr>
                <w:color w:val="404040"/>
                <w:sz w:val="17"/>
                <w:szCs w:val="17"/>
              </w:rPr>
              <w:t>ACES (the custom PeopleSoft access management system) is approximately 20 years old and requires manual retrofitting during every PeopleSoft Tools upgrade. A modern replacement does not exist and is required before automated access can be enabled.</w:t>
            </w:r>
          </w:p>
        </w:tc>
        <w:tc>
          <w:tcPr>
            <w:tcW w:w="2200" w:type="dxa"/>
            <w:tcBorders>
              <w:top w:val="nil"/>
              <w:left w:val="nil"/>
              <w:bottom w:val="single" w:sz="8" w:space="0" w:color="D1D5DB"/>
              <w:right w:val="single" w:sz="8" w:space="0" w:color="D1D5DB"/>
            </w:tcBorders>
            <w:shd w:val="clear" w:color="auto" w:fill="FFFFFF"/>
            <w:tcMar>
              <w:top w:w="100" w:type="dxa"/>
              <w:left w:w="140" w:type="dxa"/>
              <w:bottom w:w="100" w:type="dxa"/>
              <w:right w:w="140" w:type="dxa"/>
            </w:tcMar>
            <w:vAlign w:val="center"/>
            <w:hideMark/>
          </w:tcPr>
          <w:p w14:paraId="243F65FA" w14:textId="77777777" w:rsidR="00A415C0" w:rsidRDefault="00A415C0">
            <w:r>
              <w:rPr>
                <w:i/>
                <w:iCs/>
                <w:color w:val="6B6B6B"/>
                <w:sz w:val="17"/>
                <w:szCs w:val="17"/>
              </w:rPr>
              <w:t>ERP Security, ERP Applications</w:t>
            </w:r>
          </w:p>
        </w:tc>
      </w:tr>
    </w:tbl>
    <w:p w14:paraId="7243F522" w14:textId="77777777" w:rsidR="004E2E2D" w:rsidRDefault="004E2E2D">
      <w:pPr>
        <w:spacing w:after="200"/>
      </w:pPr>
    </w:p>
    <w:p w14:paraId="342010DD" w14:textId="414CEB7E" w:rsidR="00446801" w:rsidRDefault="00446801">
      <w:r>
        <w:br w:type="page"/>
      </w:r>
    </w:p>
    <w:p w14:paraId="0E112917" w14:textId="77777777" w:rsidR="00A415C0" w:rsidRDefault="00A415C0" w:rsidP="00A415C0">
      <w:pPr>
        <w:pStyle w:val="Heading1"/>
        <w:pBdr>
          <w:top w:val="single" w:sz="1" w:space="18" w:color="FFFFFF"/>
        </w:pBdr>
        <w:rPr>
          <w:kern w:val="36"/>
          <w14:ligatures w14:val="standardContextual"/>
        </w:rPr>
      </w:pPr>
      <w:r>
        <w:rPr>
          <w:color w:val="10542B"/>
        </w:rPr>
        <w:lastRenderedPageBreak/>
        <w:t>4.  Requirement Summary</w:t>
      </w:r>
    </w:p>
    <w:p w14:paraId="63FC0706" w14:textId="77777777" w:rsidR="004E2E2D" w:rsidRDefault="00000000">
      <w:pPr>
        <w:spacing w:after="140"/>
      </w:pPr>
      <w:r>
        <w:rPr>
          <w:color w:val="1A1A1A"/>
        </w:rPr>
        <w:t>The table below provides a consolidated view of all 50 requirements across the three tiers, mapped to migration phases and disposition.</w:t>
      </w:r>
    </w:p>
    <w:p w14:paraId="56A66BB0" w14:textId="77777777" w:rsidR="004E2E2D" w:rsidRDefault="004E2E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tblBorders>
        <w:tblCellMar>
          <w:left w:w="10" w:type="dxa"/>
          <w:right w:w="10" w:type="dxa"/>
        </w:tblCellMar>
        <w:tblLook w:val="04A0" w:firstRow="1" w:lastRow="0" w:firstColumn="1" w:lastColumn="0" w:noHBand="0" w:noVBand="1"/>
      </w:tblPr>
      <w:tblGrid>
        <w:gridCol w:w="2400"/>
        <w:gridCol w:w="3600"/>
        <w:gridCol w:w="1680"/>
        <w:gridCol w:w="1680"/>
      </w:tblGrid>
      <w:tr w:rsidR="004E2E2D" w14:paraId="44F707D7" w14:textId="77777777">
        <w:trPr>
          <w:tblHeader/>
        </w:trPr>
        <w:tc>
          <w:tcPr>
            <w:tcW w:w="2400" w:type="dxa"/>
            <w:tcBorders>
              <w:top w:val="single" w:sz="1" w:space="0" w:color="D1D5DB"/>
              <w:left w:val="nil"/>
              <w:bottom w:val="single" w:sz="1" w:space="0" w:color="D1D5DB"/>
              <w:right w:val="nil"/>
            </w:tcBorders>
            <w:shd w:val="clear" w:color="auto" w:fill="006630"/>
            <w:tcMar>
              <w:top w:w="100" w:type="dxa"/>
              <w:left w:w="140" w:type="dxa"/>
              <w:bottom w:w="100" w:type="dxa"/>
              <w:right w:w="140" w:type="dxa"/>
            </w:tcMar>
          </w:tcPr>
          <w:p w14:paraId="497E181A" w14:textId="77777777" w:rsidR="004E2E2D" w:rsidRDefault="00000000">
            <w:r>
              <w:rPr>
                <w:b/>
                <w:bCs/>
                <w:color w:val="FFFFFF"/>
              </w:rPr>
              <w:t>Tier</w:t>
            </w:r>
          </w:p>
        </w:tc>
        <w:tc>
          <w:tcPr>
            <w:tcW w:w="3600" w:type="dxa"/>
            <w:tcBorders>
              <w:top w:val="single" w:sz="1" w:space="0" w:color="D1D5DB"/>
              <w:left w:val="nil"/>
              <w:bottom w:val="single" w:sz="1" w:space="0" w:color="D1D5DB"/>
              <w:right w:val="nil"/>
            </w:tcBorders>
            <w:shd w:val="clear" w:color="auto" w:fill="006630"/>
            <w:tcMar>
              <w:top w:w="100" w:type="dxa"/>
              <w:left w:w="140" w:type="dxa"/>
              <w:bottom w:w="100" w:type="dxa"/>
              <w:right w:w="140" w:type="dxa"/>
            </w:tcMar>
          </w:tcPr>
          <w:p w14:paraId="056F7D22" w14:textId="77777777" w:rsidR="004E2E2D" w:rsidRDefault="00000000">
            <w:r>
              <w:rPr>
                <w:b/>
                <w:bCs/>
                <w:color w:val="FFFFFF"/>
              </w:rPr>
              <w:t>Requirement Range</w:t>
            </w:r>
          </w:p>
        </w:tc>
        <w:tc>
          <w:tcPr>
            <w:tcW w:w="1680" w:type="dxa"/>
            <w:tcBorders>
              <w:top w:val="single" w:sz="1" w:space="0" w:color="D1D5DB"/>
              <w:left w:val="nil"/>
              <w:bottom w:val="single" w:sz="1" w:space="0" w:color="D1D5DB"/>
              <w:right w:val="nil"/>
            </w:tcBorders>
            <w:shd w:val="clear" w:color="auto" w:fill="006630"/>
            <w:tcMar>
              <w:top w:w="100" w:type="dxa"/>
              <w:left w:w="140" w:type="dxa"/>
              <w:bottom w:w="100" w:type="dxa"/>
              <w:right w:w="140" w:type="dxa"/>
            </w:tcMar>
          </w:tcPr>
          <w:p w14:paraId="2120331B" w14:textId="77777777" w:rsidR="004E2E2D" w:rsidRDefault="00000000">
            <w:r>
              <w:rPr>
                <w:b/>
                <w:bCs/>
                <w:color w:val="FFFFFF"/>
              </w:rPr>
              <w:t>Count</w:t>
            </w:r>
          </w:p>
        </w:tc>
        <w:tc>
          <w:tcPr>
            <w:tcW w:w="1680" w:type="dxa"/>
            <w:tcBorders>
              <w:top w:val="single" w:sz="1" w:space="0" w:color="D1D5DB"/>
              <w:left w:val="nil"/>
              <w:bottom w:val="single" w:sz="1" w:space="0" w:color="D1D5DB"/>
              <w:right w:val="nil"/>
            </w:tcBorders>
            <w:shd w:val="clear" w:color="auto" w:fill="006630"/>
            <w:tcMar>
              <w:top w:w="100" w:type="dxa"/>
              <w:left w:w="140" w:type="dxa"/>
              <w:bottom w:w="100" w:type="dxa"/>
              <w:right w:w="140" w:type="dxa"/>
            </w:tcMar>
          </w:tcPr>
          <w:p w14:paraId="6B555DA9" w14:textId="77777777" w:rsidR="004E2E2D" w:rsidRDefault="00000000">
            <w:r>
              <w:rPr>
                <w:b/>
                <w:bCs/>
                <w:color w:val="FFFFFF"/>
              </w:rPr>
              <w:t>Phase</w:t>
            </w:r>
          </w:p>
        </w:tc>
      </w:tr>
      <w:tr w:rsidR="004E2E2D" w14:paraId="2EBDF42D" w14:textId="77777777">
        <w:tc>
          <w:tcPr>
            <w:tcW w:w="24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53F4AF3A" w14:textId="77777777" w:rsidR="004E2E2D" w:rsidRDefault="00000000">
            <w:r>
              <w:rPr>
                <w:b/>
                <w:bCs/>
                <w:color w:val="1B4332"/>
              </w:rPr>
              <w:t>Must-Have</w:t>
            </w:r>
          </w:p>
        </w:tc>
        <w:tc>
          <w:tcPr>
            <w:tcW w:w="36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6CF32207" w14:textId="77777777" w:rsidR="004E2E2D" w:rsidRDefault="00000000">
            <w:r>
              <w:rPr>
                <w:color w:val="1A1A1A"/>
              </w:rPr>
              <w:t>MH-01 through MH-20</w:t>
            </w:r>
          </w:p>
        </w:tc>
        <w:tc>
          <w:tcPr>
            <w:tcW w:w="168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466D5E34" w14:textId="77777777" w:rsidR="004E2E2D" w:rsidRDefault="00000000">
            <w:pPr>
              <w:jc w:val="center"/>
            </w:pPr>
            <w:r>
              <w:rPr>
                <w:b/>
                <w:bCs/>
                <w:color w:val="1B4332"/>
              </w:rPr>
              <w:t>20</w:t>
            </w:r>
          </w:p>
        </w:tc>
        <w:tc>
          <w:tcPr>
            <w:tcW w:w="168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6CC3CDE0" w14:textId="77777777" w:rsidR="004E2E2D" w:rsidRDefault="00000000">
            <w:r>
              <w:rPr>
                <w:i/>
                <w:iCs/>
                <w:color w:val="6B6B6B"/>
              </w:rPr>
              <w:t>Phase 1 — Pre-Cutover</w:t>
            </w:r>
          </w:p>
        </w:tc>
      </w:tr>
      <w:tr w:rsidR="004E2E2D" w14:paraId="68384AFE" w14:textId="77777777">
        <w:tc>
          <w:tcPr>
            <w:tcW w:w="24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58E63FDE" w14:textId="77777777" w:rsidR="00A415C0" w:rsidRDefault="00A415C0">
            <w:pPr>
              <w:rPr>
                <w:kern w:val="2"/>
                <w14:ligatures w14:val="standardContextual"/>
              </w:rPr>
            </w:pPr>
            <w:r>
              <w:rPr>
                <w:b/>
                <w:bCs/>
                <w:color w:val="10542B"/>
              </w:rPr>
              <w:t>Nice-to-Have</w:t>
            </w:r>
          </w:p>
          <w:p w14:paraId="484D281B" w14:textId="185390C9" w:rsidR="004E2E2D" w:rsidRDefault="004E2E2D"/>
        </w:tc>
        <w:tc>
          <w:tcPr>
            <w:tcW w:w="36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530871C5" w14:textId="77777777" w:rsidR="004E2E2D" w:rsidRDefault="00000000">
            <w:r>
              <w:rPr>
                <w:color w:val="1A1A1A"/>
              </w:rPr>
              <w:t>NH-01 through NH-15</w:t>
            </w:r>
          </w:p>
        </w:tc>
        <w:tc>
          <w:tcPr>
            <w:tcW w:w="168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5F4E685B" w14:textId="77777777" w:rsidR="00A415C0" w:rsidRDefault="00A415C0">
            <w:pPr>
              <w:jc w:val="center"/>
              <w:rPr>
                <w:kern w:val="2"/>
                <w14:ligatures w14:val="standardContextual"/>
              </w:rPr>
            </w:pPr>
            <w:r>
              <w:rPr>
                <w:b/>
                <w:bCs/>
                <w:color w:val="10542B"/>
              </w:rPr>
              <w:t>15</w:t>
            </w:r>
          </w:p>
          <w:p w14:paraId="060163DE" w14:textId="11BB7399" w:rsidR="004E2E2D" w:rsidRDefault="004E2E2D">
            <w:pPr>
              <w:jc w:val="center"/>
            </w:pPr>
          </w:p>
        </w:tc>
        <w:tc>
          <w:tcPr>
            <w:tcW w:w="168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7E60F231" w14:textId="77777777" w:rsidR="004E2E2D" w:rsidRDefault="00000000">
            <w:r>
              <w:rPr>
                <w:i/>
                <w:iCs/>
                <w:color w:val="6B6B6B"/>
              </w:rPr>
              <w:t>Phase 2 — Post-Cutover</w:t>
            </w:r>
          </w:p>
        </w:tc>
      </w:tr>
      <w:tr w:rsidR="004E2E2D" w14:paraId="3E280013" w14:textId="77777777">
        <w:tc>
          <w:tcPr>
            <w:tcW w:w="24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2DC61036" w14:textId="77777777" w:rsidR="00A415C0" w:rsidRDefault="00A415C0">
            <w:pPr>
              <w:rPr>
                <w:kern w:val="2"/>
                <w14:ligatures w14:val="standardContextual"/>
              </w:rPr>
            </w:pPr>
            <w:r>
              <w:rPr>
                <w:b/>
                <w:bCs/>
                <w:color w:val="2E8B57"/>
              </w:rPr>
              <w:t>Don’t Yet Exist</w:t>
            </w:r>
          </w:p>
          <w:p w14:paraId="14D8C2B5" w14:textId="77777777" w:rsidR="00A415C0" w:rsidRDefault="00A415C0">
            <w:pPr>
              <w:rPr>
                <w:kern w:val="2"/>
                <w14:ligatures w14:val="standardContextual"/>
              </w:rPr>
            </w:pPr>
            <w:r>
              <w:t> </w:t>
            </w:r>
          </w:p>
          <w:p w14:paraId="52A1E297" w14:textId="03EAC661" w:rsidR="004E2E2D" w:rsidRDefault="004E2E2D"/>
        </w:tc>
        <w:tc>
          <w:tcPr>
            <w:tcW w:w="360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277E9F69" w14:textId="77777777" w:rsidR="004E2E2D" w:rsidRDefault="00000000">
            <w:r>
              <w:rPr>
                <w:color w:val="1A1A1A"/>
              </w:rPr>
              <w:t>NE-01 through NE-15</w:t>
            </w:r>
          </w:p>
        </w:tc>
        <w:tc>
          <w:tcPr>
            <w:tcW w:w="168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7E26A826" w14:textId="77777777" w:rsidR="00A415C0" w:rsidRDefault="00A415C0">
            <w:pPr>
              <w:jc w:val="center"/>
              <w:rPr>
                <w:kern w:val="2"/>
                <w14:ligatures w14:val="standardContextual"/>
              </w:rPr>
            </w:pPr>
            <w:r>
              <w:rPr>
                <w:b/>
                <w:bCs/>
                <w:color w:val="2E8B57"/>
              </w:rPr>
              <w:t>15</w:t>
            </w:r>
          </w:p>
          <w:p w14:paraId="28E5A88D" w14:textId="77777777" w:rsidR="00A415C0" w:rsidRDefault="00A415C0">
            <w:pPr>
              <w:jc w:val="center"/>
              <w:rPr>
                <w:kern w:val="2"/>
                <w14:ligatures w14:val="standardContextual"/>
              </w:rPr>
            </w:pPr>
            <w:r>
              <w:t> </w:t>
            </w:r>
          </w:p>
          <w:p w14:paraId="3FB64FD8" w14:textId="411F9D79" w:rsidR="004E2E2D" w:rsidRDefault="004E2E2D">
            <w:pPr>
              <w:jc w:val="center"/>
            </w:pPr>
          </w:p>
        </w:tc>
        <w:tc>
          <w:tcPr>
            <w:tcW w:w="1680" w:type="dxa"/>
            <w:tcBorders>
              <w:top w:val="single" w:sz="1" w:space="0" w:color="D1D5DB"/>
              <w:left w:val="nil"/>
              <w:bottom w:val="single" w:sz="1" w:space="0" w:color="D1D5DB"/>
              <w:right w:val="nil"/>
            </w:tcBorders>
            <w:shd w:val="clear" w:color="auto" w:fill="FFFFFF"/>
            <w:tcMar>
              <w:top w:w="100" w:type="dxa"/>
              <w:left w:w="140" w:type="dxa"/>
              <w:bottom w:w="100" w:type="dxa"/>
              <w:right w:w="140" w:type="dxa"/>
            </w:tcMar>
          </w:tcPr>
          <w:p w14:paraId="5021DCFF" w14:textId="77777777" w:rsidR="004E2E2D" w:rsidRDefault="00000000">
            <w:r>
              <w:rPr>
                <w:i/>
                <w:iCs/>
                <w:color w:val="6B6B6B"/>
              </w:rPr>
              <w:t>Phase 2–3 — Future Investment</w:t>
            </w:r>
          </w:p>
        </w:tc>
      </w:tr>
      <w:tr w:rsidR="004E2E2D" w14:paraId="6DE2D575" w14:textId="77777777">
        <w:tc>
          <w:tcPr>
            <w:tcW w:w="24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1F979FC9" w14:textId="77777777" w:rsidR="004E2E2D" w:rsidRDefault="00000000">
            <w:r>
              <w:rPr>
                <w:b/>
                <w:bCs/>
                <w:color w:val="006630"/>
              </w:rPr>
              <w:t>TOTAL</w:t>
            </w:r>
          </w:p>
        </w:tc>
        <w:tc>
          <w:tcPr>
            <w:tcW w:w="360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16D9B56B" w14:textId="77777777" w:rsidR="004E2E2D" w:rsidRDefault="004E2E2D"/>
        </w:tc>
        <w:tc>
          <w:tcPr>
            <w:tcW w:w="168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391183B7" w14:textId="77777777" w:rsidR="004E2E2D" w:rsidRDefault="00000000">
            <w:pPr>
              <w:jc w:val="center"/>
            </w:pPr>
            <w:r>
              <w:rPr>
                <w:b/>
                <w:bCs/>
                <w:color w:val="006630"/>
              </w:rPr>
              <w:t>50</w:t>
            </w:r>
          </w:p>
        </w:tc>
        <w:tc>
          <w:tcPr>
            <w:tcW w:w="1680" w:type="dxa"/>
            <w:tcBorders>
              <w:top w:val="single" w:sz="1" w:space="0" w:color="D1D5DB"/>
              <w:left w:val="nil"/>
              <w:bottom w:val="single" w:sz="1" w:space="0" w:color="D1D5DB"/>
              <w:right w:val="nil"/>
            </w:tcBorders>
            <w:shd w:val="clear" w:color="auto" w:fill="F0F4F1"/>
            <w:tcMar>
              <w:top w:w="100" w:type="dxa"/>
              <w:left w:w="140" w:type="dxa"/>
              <w:bottom w:w="100" w:type="dxa"/>
              <w:right w:w="140" w:type="dxa"/>
            </w:tcMar>
          </w:tcPr>
          <w:p w14:paraId="6FF6E602" w14:textId="77777777" w:rsidR="004E2E2D" w:rsidRDefault="004E2E2D"/>
        </w:tc>
      </w:tr>
    </w:tbl>
    <w:p w14:paraId="3223D7B9" w14:textId="77777777" w:rsidR="004E2E2D" w:rsidRDefault="004E2E2D">
      <w:pPr>
        <w:spacing w:after="80"/>
      </w:pPr>
    </w:p>
    <w:p w14:paraId="0F203AB0" w14:textId="77777777" w:rsidR="00A415C0" w:rsidRDefault="00A415C0" w:rsidP="00A415C0">
      <w:pPr>
        <w:pStyle w:val="Heading1"/>
        <w:rPr>
          <w:kern w:val="36"/>
          <w14:ligatures w14:val="standardContextual"/>
        </w:rPr>
      </w:pPr>
      <w:r>
        <w:rPr>
          <w:color w:val="10542B"/>
        </w:rPr>
        <w:t>5.  Assumptions &amp; Constraints</w:t>
      </w:r>
    </w:p>
    <w:p w14:paraId="3C9C4719" w14:textId="77777777" w:rsidR="004E2E2D" w:rsidRDefault="00000000">
      <w:pPr>
        <w:pStyle w:val="ListParagraph"/>
        <w:numPr>
          <w:ilvl w:val="0"/>
          <w:numId w:val="2"/>
        </w:numPr>
        <w:spacing w:after="100"/>
        <w:ind w:left="360"/>
      </w:pPr>
      <w:r>
        <w:rPr>
          <w:color w:val="1A1A1A"/>
        </w:rPr>
        <w:t>Microsoft Entra ID P1 or P2 licensing is available for all users in scope.</w:t>
      </w:r>
    </w:p>
    <w:p w14:paraId="52606D5C" w14:textId="77777777" w:rsidR="004E2E2D" w:rsidRDefault="00000000">
      <w:pPr>
        <w:pStyle w:val="ListParagraph"/>
        <w:numPr>
          <w:ilvl w:val="0"/>
          <w:numId w:val="2"/>
        </w:numPr>
        <w:spacing w:after="100"/>
        <w:ind w:left="360"/>
      </w:pPr>
      <w:r>
        <w:rPr>
          <w:color w:val="1A1A1A"/>
        </w:rPr>
        <w:t>Active Directory will remain as a hybrid identity source during migration. Full AD deprecation is a post-migration decision.</w:t>
      </w:r>
    </w:p>
    <w:p w14:paraId="5850561C" w14:textId="77777777" w:rsidR="004E2E2D" w:rsidRDefault="00000000">
      <w:pPr>
        <w:pStyle w:val="ListParagraph"/>
        <w:numPr>
          <w:ilvl w:val="0"/>
          <w:numId w:val="2"/>
        </w:numPr>
        <w:spacing w:after="100"/>
        <w:ind w:left="360"/>
      </w:pPr>
      <w:r>
        <w:rPr>
          <w:color w:val="1A1A1A"/>
        </w:rPr>
        <w:t>LDAP-based integrations will be migrated incrementally. No big-bang LDAP cutover will occur.</w:t>
      </w:r>
    </w:p>
    <w:p w14:paraId="1D045B66" w14:textId="77777777" w:rsidR="004E2E2D" w:rsidRDefault="00000000">
      <w:pPr>
        <w:pStyle w:val="ListParagraph"/>
        <w:numPr>
          <w:ilvl w:val="0"/>
          <w:numId w:val="2"/>
        </w:numPr>
        <w:spacing w:after="100"/>
        <w:ind w:left="360"/>
      </w:pPr>
      <w:r>
        <w:rPr>
          <w:color w:val="1A1A1A"/>
        </w:rPr>
        <w:t>Third-party vendor compatibility with Entra must be confirmed by vendor prior to migration of any dependent system.</w:t>
      </w:r>
    </w:p>
    <w:p w14:paraId="4B3308C2" w14:textId="77777777" w:rsidR="004E2E2D" w:rsidRDefault="00000000">
      <w:pPr>
        <w:pStyle w:val="ListParagraph"/>
        <w:numPr>
          <w:ilvl w:val="0"/>
          <w:numId w:val="2"/>
        </w:numPr>
        <w:spacing w:after="100"/>
        <w:ind w:left="360"/>
      </w:pPr>
      <w:r>
        <w:rPr>
          <w:color w:val="1A1A1A"/>
        </w:rPr>
        <w:t>The IAM team will provide a dedicated point of contact for each unit during the testing and cutover phases.</w:t>
      </w:r>
    </w:p>
    <w:p w14:paraId="7FE3D6DC" w14:textId="77777777" w:rsidR="004E2E2D" w:rsidRDefault="00000000">
      <w:pPr>
        <w:pStyle w:val="ListParagraph"/>
        <w:numPr>
          <w:ilvl w:val="0"/>
          <w:numId w:val="2"/>
        </w:numPr>
        <w:spacing w:after="100"/>
        <w:ind w:left="360"/>
      </w:pPr>
      <w:r>
        <w:rPr>
          <w:color w:val="1A1A1A"/>
        </w:rPr>
        <w:t>Requirements marked MH are acceptance criteria and must be verified in UAT before production cutover proceeds.</w:t>
      </w:r>
    </w:p>
    <w:p w14:paraId="62B6B4B3" w14:textId="77777777" w:rsidR="004E2E2D" w:rsidRDefault="00000000">
      <w:pPr>
        <w:pStyle w:val="ListParagraph"/>
        <w:numPr>
          <w:ilvl w:val="0"/>
          <w:numId w:val="2"/>
        </w:numPr>
        <w:spacing w:after="100"/>
        <w:ind w:left="360"/>
      </w:pPr>
      <w:r>
        <w:rPr>
          <w:color w:val="1A1A1A"/>
        </w:rPr>
        <w:t>Requirements in sections NH and NE are out of scope for Phase 1 unless explicitly reprioritized by the project steering committee.</w:t>
      </w:r>
    </w:p>
    <w:p w14:paraId="55C0535B" w14:textId="77777777" w:rsidR="00A415C0" w:rsidRDefault="00A415C0" w:rsidP="00A415C0">
      <w:pPr>
        <w:pStyle w:val="Heading1"/>
        <w:rPr>
          <w:kern w:val="36"/>
          <w14:ligatures w14:val="standardContextual"/>
        </w:rPr>
      </w:pPr>
      <w:r>
        <w:rPr>
          <w:color w:val="10542B"/>
        </w:rPr>
        <w:t>6.  Next Steps</w:t>
      </w:r>
    </w:p>
    <w:p w14:paraId="5FBDD65F" w14:textId="77777777" w:rsidR="004E2E2D" w:rsidRDefault="00000000">
      <w:pPr>
        <w:pStyle w:val="ListParagraph"/>
        <w:numPr>
          <w:ilvl w:val="0"/>
          <w:numId w:val="2"/>
        </w:numPr>
        <w:spacing w:after="100"/>
        <w:ind w:left="360"/>
      </w:pPr>
      <w:r>
        <w:rPr>
          <w:color w:val="1A1A1A"/>
        </w:rPr>
        <w:t>Distribute this document to unit leads for stakeholder review and comment.</w:t>
      </w:r>
    </w:p>
    <w:p w14:paraId="10D5E2D1" w14:textId="77777777" w:rsidR="004E2E2D" w:rsidRDefault="00000000">
      <w:pPr>
        <w:pStyle w:val="ListParagraph"/>
        <w:numPr>
          <w:ilvl w:val="0"/>
          <w:numId w:val="2"/>
        </w:numPr>
        <w:spacing w:after="100"/>
        <w:ind w:left="360"/>
      </w:pPr>
      <w:r>
        <w:rPr>
          <w:color w:val="1A1A1A"/>
        </w:rPr>
        <w:t>Conduct a working session with ERP Security, ERP Applications, and PeopleSoft teams to validate MH-05, MH-09, MH-10, MH-12, MH-13, and MH-14.</w:t>
      </w:r>
    </w:p>
    <w:p w14:paraId="786B1967" w14:textId="77777777" w:rsidR="004E2E2D" w:rsidRDefault="00000000">
      <w:pPr>
        <w:pStyle w:val="ListParagraph"/>
        <w:numPr>
          <w:ilvl w:val="0"/>
          <w:numId w:val="2"/>
        </w:numPr>
        <w:spacing w:after="100"/>
        <w:ind w:left="360"/>
      </w:pPr>
      <w:r>
        <w:rPr>
          <w:color w:val="1A1A1A"/>
        </w:rPr>
        <w:t>Initiate vendor outreach for Perceptive Content and Pathlock Entra compatibility confirmation (MH-14 and related).</w:t>
      </w:r>
    </w:p>
    <w:p w14:paraId="3FBA8E70" w14:textId="77777777" w:rsidR="004E2E2D" w:rsidRDefault="00000000">
      <w:pPr>
        <w:pStyle w:val="ListParagraph"/>
        <w:numPr>
          <w:ilvl w:val="0"/>
          <w:numId w:val="2"/>
        </w:numPr>
        <w:spacing w:after="100"/>
        <w:ind w:left="360"/>
      </w:pPr>
      <w:r>
        <w:rPr>
          <w:color w:val="1A1A1A"/>
        </w:rPr>
        <w:t>Develop a detailed LDAP dependency inventory as a prerequisite for scheduling any LDAP deprecation activities (MH-05).</w:t>
      </w:r>
    </w:p>
    <w:p w14:paraId="72F728A4" w14:textId="77777777" w:rsidR="004E2E2D" w:rsidRDefault="00000000">
      <w:pPr>
        <w:pStyle w:val="ListParagraph"/>
        <w:numPr>
          <w:ilvl w:val="0"/>
          <w:numId w:val="2"/>
        </w:numPr>
        <w:spacing w:after="100"/>
        <w:ind w:left="360"/>
      </w:pPr>
      <w:r>
        <w:rPr>
          <w:color w:val="1A1A1A"/>
        </w:rPr>
        <w:t>Baseline and prioritize the Nice-to-Have backlog with input from steering committee.</w:t>
      </w:r>
    </w:p>
    <w:p w14:paraId="0EDF0023" w14:textId="77777777" w:rsidR="004E2E2D" w:rsidRDefault="00000000">
      <w:pPr>
        <w:pStyle w:val="ListParagraph"/>
        <w:numPr>
          <w:ilvl w:val="0"/>
          <w:numId w:val="2"/>
        </w:numPr>
        <w:spacing w:after="100"/>
        <w:ind w:left="360"/>
      </w:pPr>
      <w:r>
        <w:rPr>
          <w:color w:val="1A1A1A"/>
        </w:rPr>
        <w:t>Schedule a Phase 2 roadmap session to assess Don’t-Yet-Exist investments against strategic IT goals.</w:t>
      </w:r>
    </w:p>
    <w:sectPr w:rsidR="004E2E2D">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65FAB" w14:textId="77777777" w:rsidR="00A7679C" w:rsidRDefault="00A7679C">
      <w:r>
        <w:separator/>
      </w:r>
    </w:p>
  </w:endnote>
  <w:endnote w:type="continuationSeparator" w:id="0">
    <w:p w14:paraId="6C76DFEF" w14:textId="77777777" w:rsidR="00A7679C" w:rsidRDefault="00A76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C181A" w14:textId="68D0B47A" w:rsidR="004E2E2D" w:rsidRDefault="00000000">
    <w:pPr>
      <w:pBdr>
        <w:top w:val="single" w:sz="4" w:space="4" w:color="D1D5DB"/>
      </w:pBdr>
      <w:tabs>
        <w:tab w:val="right" w:pos="9360"/>
      </w:tabs>
    </w:pPr>
    <w:r>
      <w:rPr>
        <w:b/>
        <w:bCs/>
        <w:color w:val="10542B"/>
        <w:sz w:val="16"/>
        <w:szCs w:val="16"/>
      </w:rPr>
      <w:t xml:space="preserve">UNT </w:t>
    </w:r>
    <w:r w:rsidR="003639C4">
      <w:rPr>
        <w:b/>
        <w:bCs/>
        <w:color w:val="10542B"/>
        <w:sz w:val="16"/>
        <w:szCs w:val="16"/>
      </w:rPr>
      <w:t xml:space="preserve">System | </w:t>
    </w:r>
    <w:r>
      <w:rPr>
        <w:b/>
        <w:bCs/>
        <w:color w:val="10542B"/>
        <w:sz w:val="16"/>
        <w:szCs w:val="16"/>
      </w:rPr>
      <w:t>Identity &amp; Access Management</w:t>
    </w:r>
    <w:r>
      <w:rPr>
        <w:sz w:val="16"/>
        <w:szCs w:val="16"/>
      </w:rPr>
      <w:tab/>
    </w:r>
    <w:r>
      <w:rPr>
        <w:color w:val="6B6B6B"/>
        <w:sz w:val="16"/>
        <w:szCs w:val="16"/>
      </w:rPr>
      <w:t xml:space="preserve">Page </w:t>
    </w:r>
    <w:r>
      <w:rPr>
        <w:b/>
        <w:bCs/>
        <w:color w:val="006630"/>
        <w:sz w:val="16"/>
        <w:szCs w:val="16"/>
      </w:rPr>
      <w:fldChar w:fldCharType="begin"/>
    </w:r>
    <w:r>
      <w:rPr>
        <w:b/>
        <w:bCs/>
        <w:color w:val="006630"/>
        <w:sz w:val="16"/>
        <w:szCs w:val="16"/>
      </w:rPr>
      <w:instrText>PAGE</w:instrText>
    </w:r>
    <w:r>
      <w:rPr>
        <w:b/>
        <w:bCs/>
        <w:color w:val="006630"/>
        <w:sz w:val="16"/>
        <w:szCs w:val="16"/>
      </w:rPr>
      <w:fldChar w:fldCharType="separate"/>
    </w:r>
    <w:r w:rsidR="00446801">
      <w:rPr>
        <w:b/>
        <w:bCs/>
        <w:noProof/>
        <w:color w:val="006630"/>
        <w:sz w:val="16"/>
        <w:szCs w:val="16"/>
      </w:rPr>
      <w:t>2</w:t>
    </w:r>
    <w:r>
      <w:rPr>
        <w:b/>
        <w:bCs/>
        <w:color w:val="006630"/>
        <w:sz w:val="16"/>
        <w:szCs w:val="16"/>
      </w:rPr>
      <w:fldChar w:fldCharType="end"/>
    </w:r>
    <w:r>
      <w:rPr>
        <w:color w:val="6B6B6B"/>
        <w:sz w:val="16"/>
        <w:szCs w:val="16"/>
      </w:rPr>
      <w:t xml:space="preserve"> of </w:t>
    </w:r>
    <w:r>
      <w:rPr>
        <w:color w:val="6B6B6B"/>
        <w:sz w:val="16"/>
        <w:szCs w:val="16"/>
      </w:rPr>
      <w:fldChar w:fldCharType="begin"/>
    </w:r>
    <w:r>
      <w:rPr>
        <w:color w:val="6B6B6B"/>
        <w:sz w:val="16"/>
        <w:szCs w:val="16"/>
      </w:rPr>
      <w:instrText>NUMPAGES</w:instrText>
    </w:r>
    <w:r>
      <w:rPr>
        <w:color w:val="6B6B6B"/>
        <w:sz w:val="16"/>
        <w:szCs w:val="16"/>
      </w:rPr>
      <w:fldChar w:fldCharType="separate"/>
    </w:r>
    <w:r w:rsidR="00446801">
      <w:rPr>
        <w:noProof/>
        <w:color w:val="6B6B6B"/>
        <w:sz w:val="16"/>
        <w:szCs w:val="16"/>
      </w:rPr>
      <w:t>3</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0E047" w14:textId="77777777" w:rsidR="00A7679C" w:rsidRDefault="00A7679C">
      <w:r>
        <w:separator/>
      </w:r>
    </w:p>
  </w:footnote>
  <w:footnote w:type="continuationSeparator" w:id="0">
    <w:p w14:paraId="658BF49B" w14:textId="77777777" w:rsidR="00A7679C" w:rsidRDefault="00A76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DF39C5" w14:paraId="3ED51E1B" w14:textId="77777777" w:rsidTr="00DF39C5">
      <w:tc>
        <w:tcPr>
          <w:tcW w:w="5035" w:type="dxa"/>
        </w:tcPr>
        <w:p w14:paraId="2E15F136" w14:textId="47801A00" w:rsidR="00DF39C5" w:rsidRPr="00DF39C5" w:rsidRDefault="00DF39C5" w:rsidP="00DF39C5">
          <w:pPr>
            <w:tabs>
              <w:tab w:val="right" w:pos="9026"/>
            </w:tabs>
            <w:rPr>
              <w:b/>
              <w:bCs/>
              <w:color w:val="10542B"/>
              <w:sz w:val="18"/>
              <w:szCs w:val="18"/>
            </w:rPr>
          </w:pPr>
          <w:r w:rsidRPr="00DF39C5">
            <w:rPr>
              <w:b/>
              <w:bCs/>
              <w:color w:val="10542B"/>
              <w:sz w:val="18"/>
              <w:szCs w:val="18"/>
            </w:rPr>
            <w:t>Entra Migration</w:t>
          </w:r>
        </w:p>
      </w:tc>
      <w:tc>
        <w:tcPr>
          <w:tcW w:w="5035" w:type="dxa"/>
        </w:tcPr>
        <w:p w14:paraId="1AD37FA8" w14:textId="507DAB15" w:rsidR="00DF39C5" w:rsidRDefault="00DF39C5" w:rsidP="00DF39C5">
          <w:pPr>
            <w:tabs>
              <w:tab w:val="right" w:pos="9026"/>
            </w:tabs>
            <w:jc w:val="right"/>
            <w:rPr>
              <w:b/>
              <w:bCs/>
              <w:color w:val="006630"/>
              <w:sz w:val="18"/>
              <w:szCs w:val="18"/>
            </w:rPr>
          </w:pPr>
          <w:r>
            <w:rPr>
              <w:color w:val="6B6B6B"/>
              <w:sz w:val="18"/>
              <w:szCs w:val="18"/>
            </w:rPr>
            <w:t>Functional Requirements Document</w:t>
          </w:r>
        </w:p>
      </w:tc>
    </w:tr>
  </w:tbl>
  <w:p w14:paraId="4A1ADB2B" w14:textId="387B575B" w:rsidR="004E2E2D" w:rsidRDefault="00000000" w:rsidP="00DF39C5">
    <w:pPr>
      <w:pBdr>
        <w:bottom w:val="single" w:sz="6" w:space="4" w:color="00853E"/>
      </w:pBdr>
      <w:tabs>
        <w:tab w:val="right" w:pos="9026"/>
      </w:tabs>
      <w:jc w:val="right"/>
    </w:pP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B2DB9"/>
    <w:multiLevelType w:val="hybridMultilevel"/>
    <w:tmpl w:val="A000C314"/>
    <w:lvl w:ilvl="0" w:tplc="78748848">
      <w:start w:val="1"/>
      <w:numFmt w:val="bullet"/>
      <w:lvlText w:val="●"/>
      <w:lvlJc w:val="left"/>
      <w:pPr>
        <w:ind w:left="720" w:hanging="360"/>
      </w:pPr>
    </w:lvl>
    <w:lvl w:ilvl="1" w:tplc="DA56B912">
      <w:start w:val="1"/>
      <w:numFmt w:val="bullet"/>
      <w:lvlText w:val="○"/>
      <w:lvlJc w:val="left"/>
      <w:pPr>
        <w:ind w:left="1440" w:hanging="360"/>
      </w:pPr>
    </w:lvl>
    <w:lvl w:ilvl="2" w:tplc="63843354">
      <w:start w:val="1"/>
      <w:numFmt w:val="bullet"/>
      <w:lvlText w:val="■"/>
      <w:lvlJc w:val="left"/>
      <w:pPr>
        <w:ind w:left="2160" w:hanging="360"/>
      </w:pPr>
    </w:lvl>
    <w:lvl w:ilvl="3" w:tplc="730E6C42">
      <w:start w:val="1"/>
      <w:numFmt w:val="bullet"/>
      <w:lvlText w:val="●"/>
      <w:lvlJc w:val="left"/>
      <w:pPr>
        <w:ind w:left="2880" w:hanging="360"/>
      </w:pPr>
    </w:lvl>
    <w:lvl w:ilvl="4" w:tplc="7E145EE8">
      <w:start w:val="1"/>
      <w:numFmt w:val="bullet"/>
      <w:lvlText w:val="○"/>
      <w:lvlJc w:val="left"/>
      <w:pPr>
        <w:ind w:left="3600" w:hanging="360"/>
      </w:pPr>
    </w:lvl>
    <w:lvl w:ilvl="5" w:tplc="8264C2DE">
      <w:start w:val="1"/>
      <w:numFmt w:val="bullet"/>
      <w:lvlText w:val="■"/>
      <w:lvlJc w:val="left"/>
      <w:pPr>
        <w:ind w:left="4320" w:hanging="360"/>
      </w:pPr>
    </w:lvl>
    <w:lvl w:ilvl="6" w:tplc="32AA349A">
      <w:start w:val="1"/>
      <w:numFmt w:val="bullet"/>
      <w:lvlText w:val="●"/>
      <w:lvlJc w:val="left"/>
      <w:pPr>
        <w:ind w:left="5040" w:hanging="360"/>
      </w:pPr>
    </w:lvl>
    <w:lvl w:ilvl="7" w:tplc="58E60C52">
      <w:start w:val="1"/>
      <w:numFmt w:val="bullet"/>
      <w:lvlText w:val="●"/>
      <w:lvlJc w:val="left"/>
      <w:pPr>
        <w:ind w:left="5760" w:hanging="360"/>
      </w:pPr>
    </w:lvl>
    <w:lvl w:ilvl="8" w:tplc="FFDE8728">
      <w:start w:val="1"/>
      <w:numFmt w:val="bullet"/>
      <w:lvlText w:val="●"/>
      <w:lvlJc w:val="left"/>
      <w:pPr>
        <w:ind w:left="6480" w:hanging="360"/>
      </w:pPr>
    </w:lvl>
  </w:abstractNum>
  <w:abstractNum w:abstractNumId="1" w15:restartNumberingAfterBreak="0">
    <w:nsid w:val="64CB074A"/>
    <w:multiLevelType w:val="hybridMultilevel"/>
    <w:tmpl w:val="9F5AED4E"/>
    <w:lvl w:ilvl="0" w:tplc="7A186808">
      <w:start w:val="1"/>
      <w:numFmt w:val="bullet"/>
      <w:lvlText w:val="•"/>
      <w:lvlJc w:val="left"/>
      <w:pPr>
        <w:ind w:left="600" w:hanging="280"/>
      </w:pPr>
    </w:lvl>
    <w:lvl w:ilvl="1" w:tplc="61B2850C">
      <w:numFmt w:val="decimal"/>
      <w:lvlText w:val=""/>
      <w:lvlJc w:val="left"/>
    </w:lvl>
    <w:lvl w:ilvl="2" w:tplc="91563318">
      <w:numFmt w:val="decimal"/>
      <w:lvlText w:val=""/>
      <w:lvlJc w:val="left"/>
    </w:lvl>
    <w:lvl w:ilvl="3" w:tplc="9B84952E">
      <w:numFmt w:val="decimal"/>
      <w:lvlText w:val=""/>
      <w:lvlJc w:val="left"/>
    </w:lvl>
    <w:lvl w:ilvl="4" w:tplc="7632FE7A">
      <w:numFmt w:val="decimal"/>
      <w:lvlText w:val=""/>
      <w:lvlJc w:val="left"/>
    </w:lvl>
    <w:lvl w:ilvl="5" w:tplc="594ADBBC">
      <w:numFmt w:val="decimal"/>
      <w:lvlText w:val=""/>
      <w:lvlJc w:val="left"/>
    </w:lvl>
    <w:lvl w:ilvl="6" w:tplc="58CE44E2">
      <w:numFmt w:val="decimal"/>
      <w:lvlText w:val=""/>
      <w:lvlJc w:val="left"/>
    </w:lvl>
    <w:lvl w:ilvl="7" w:tplc="FE5A48C0">
      <w:numFmt w:val="decimal"/>
      <w:lvlText w:val=""/>
      <w:lvlJc w:val="left"/>
    </w:lvl>
    <w:lvl w:ilvl="8" w:tplc="759A2630">
      <w:numFmt w:val="decimal"/>
      <w:lvlText w:val=""/>
      <w:lvlJc w:val="left"/>
    </w:lvl>
  </w:abstractNum>
  <w:num w:numId="1" w16cid:durableId="1164707164">
    <w:abstractNumId w:val="0"/>
    <w:lvlOverride w:ilvl="0">
      <w:startOverride w:val="1"/>
    </w:lvlOverride>
  </w:num>
  <w:num w:numId="2" w16cid:durableId="662199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E2D"/>
    <w:rsid w:val="00272EDC"/>
    <w:rsid w:val="002961F4"/>
    <w:rsid w:val="003639C4"/>
    <w:rsid w:val="003738C1"/>
    <w:rsid w:val="00446801"/>
    <w:rsid w:val="004B1035"/>
    <w:rsid w:val="004E2E2D"/>
    <w:rsid w:val="005D1FE0"/>
    <w:rsid w:val="006A6291"/>
    <w:rsid w:val="00813F88"/>
    <w:rsid w:val="00825888"/>
    <w:rsid w:val="008900E2"/>
    <w:rsid w:val="00A415C0"/>
    <w:rsid w:val="00A61ED9"/>
    <w:rsid w:val="00A7679C"/>
    <w:rsid w:val="00AF15A8"/>
    <w:rsid w:val="00CF3267"/>
    <w:rsid w:val="00D004E9"/>
    <w:rsid w:val="00D820FB"/>
    <w:rsid w:val="00DF0864"/>
    <w:rsid w:val="00DF39C5"/>
    <w:rsid w:val="00F51DFB"/>
    <w:rsid w:val="00FB3462"/>
    <w:rsid w:val="00FF5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99F46"/>
  <w15:docId w15:val="{A180F51A-CAFA-4596-B49E-F95B50872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462"/>
  </w:style>
  <w:style w:type="paragraph" w:styleId="Heading1">
    <w:name w:val="heading 1"/>
    <w:link w:val="Heading1Char"/>
    <w:uiPriority w:val="9"/>
    <w:qFormat/>
    <w:pPr>
      <w:spacing w:before="480" w:after="200"/>
      <w:outlineLvl w:val="0"/>
    </w:pPr>
    <w:rPr>
      <w:b/>
      <w:bCs/>
      <w:color w:val="006630"/>
      <w:sz w:val="36"/>
      <w:szCs w:val="36"/>
    </w:rPr>
  </w:style>
  <w:style w:type="paragraph" w:styleId="Heading2">
    <w:name w:val="heading 2"/>
    <w:link w:val="Heading2Char"/>
    <w:uiPriority w:val="9"/>
    <w:unhideWhenUsed/>
    <w:qFormat/>
    <w:pPr>
      <w:spacing w:before="320" w:after="160"/>
      <w:outlineLvl w:val="1"/>
    </w:pPr>
    <w:rPr>
      <w:b/>
      <w:bCs/>
      <w:color w:val="404040"/>
      <w:sz w:val="28"/>
      <w:szCs w:val="28"/>
    </w:rPr>
  </w:style>
  <w:style w:type="paragraph" w:styleId="Heading3">
    <w:name w:val="heading 3"/>
    <w:uiPriority w:val="9"/>
    <w:semiHidden/>
    <w:unhideWhenUsed/>
    <w:qFormat/>
    <w:pPr>
      <w:spacing w:before="240" w:after="120"/>
      <w:outlineLvl w:val="2"/>
    </w:pPr>
    <w:rPr>
      <w:b/>
      <w:bCs/>
      <w:color w:val="6B6B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5D1FE0"/>
    <w:rPr>
      <w:b/>
      <w:bCs/>
      <w:color w:val="006630"/>
      <w:sz w:val="36"/>
      <w:szCs w:val="36"/>
    </w:rPr>
  </w:style>
  <w:style w:type="character" w:customStyle="1" w:styleId="Heading2Char">
    <w:name w:val="Heading 2 Char"/>
    <w:basedOn w:val="DefaultParagraphFont"/>
    <w:link w:val="Heading2"/>
    <w:uiPriority w:val="9"/>
    <w:rsid w:val="005D1FE0"/>
    <w:rPr>
      <w:b/>
      <w:bCs/>
      <w:color w:val="404040"/>
      <w:sz w:val="28"/>
      <w:szCs w:val="28"/>
    </w:rPr>
  </w:style>
  <w:style w:type="paragraph" w:styleId="Header">
    <w:name w:val="header"/>
    <w:basedOn w:val="Normal"/>
    <w:link w:val="HeaderChar"/>
    <w:uiPriority w:val="99"/>
    <w:unhideWhenUsed/>
    <w:rsid w:val="00DF39C5"/>
    <w:pPr>
      <w:tabs>
        <w:tab w:val="center" w:pos="4680"/>
        <w:tab w:val="right" w:pos="9360"/>
      </w:tabs>
    </w:pPr>
  </w:style>
  <w:style w:type="character" w:customStyle="1" w:styleId="HeaderChar">
    <w:name w:val="Header Char"/>
    <w:basedOn w:val="DefaultParagraphFont"/>
    <w:link w:val="Header"/>
    <w:uiPriority w:val="99"/>
    <w:rsid w:val="00DF39C5"/>
  </w:style>
  <w:style w:type="paragraph" w:styleId="Footer">
    <w:name w:val="footer"/>
    <w:basedOn w:val="Normal"/>
    <w:link w:val="FooterChar"/>
    <w:uiPriority w:val="99"/>
    <w:unhideWhenUsed/>
    <w:rsid w:val="00DF39C5"/>
    <w:pPr>
      <w:tabs>
        <w:tab w:val="center" w:pos="4680"/>
        <w:tab w:val="right" w:pos="9360"/>
      </w:tabs>
    </w:pPr>
  </w:style>
  <w:style w:type="character" w:customStyle="1" w:styleId="FooterChar">
    <w:name w:val="Footer Char"/>
    <w:basedOn w:val="DefaultParagraphFont"/>
    <w:link w:val="Footer"/>
    <w:uiPriority w:val="99"/>
    <w:rsid w:val="00DF39C5"/>
  </w:style>
  <w:style w:type="table" w:styleId="TableGrid">
    <w:name w:val="Table Grid"/>
    <w:basedOn w:val="TableNormal"/>
    <w:uiPriority w:val="39"/>
    <w:rsid w:val="00DF39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495072">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CAC77F7280B74F80D82FF7DAC59E62" ma:contentTypeVersion="7" ma:contentTypeDescription="Create a new document." ma:contentTypeScope="" ma:versionID="bc431b5c601f7f9e942c93c39ad20a91">
  <xsd:schema xmlns:xsd="http://www.w3.org/2001/XMLSchema" xmlns:xs="http://www.w3.org/2001/XMLSchema" xmlns:p="http://schemas.microsoft.com/office/2006/metadata/properties" xmlns:ns2="91348f08-87be-4e06-932c-7e9f78e87beb" targetNamespace="http://schemas.microsoft.com/office/2006/metadata/properties" ma:root="true" ma:fieldsID="5bfd3a8103cc1b0d99d56527decec088" ns2:_="">
    <xsd:import namespace="91348f08-87be-4e06-932c-7e9f78e87b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348f08-87be-4e06-932c-7e9f78e87b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0D9952-7440-4934-B10B-C0EF2F6441F3}"/>
</file>

<file path=customXml/itemProps2.xml><?xml version="1.0" encoding="utf-8"?>
<ds:datastoreItem xmlns:ds="http://schemas.openxmlformats.org/officeDocument/2006/customXml" ds:itemID="{EB83D36D-2764-4DF6-9A36-3F9DDD1774CA}"/>
</file>

<file path=customXml/itemProps3.xml><?xml version="1.0" encoding="utf-8"?>
<ds:datastoreItem xmlns:ds="http://schemas.openxmlformats.org/officeDocument/2006/customXml" ds:itemID="{FC338AB3-543D-4A16-BB2C-07ED06DC8B76}"/>
</file>

<file path=docProps/app.xml><?xml version="1.0" encoding="utf-8"?>
<Properties xmlns="http://schemas.openxmlformats.org/officeDocument/2006/extended-properties" xmlns:vt="http://schemas.openxmlformats.org/officeDocument/2006/docPropsVTypes">
  <Template>Normal.dotm</Template>
  <TotalTime>1218</TotalTime>
  <Pages>14</Pages>
  <Words>3310</Words>
  <Characters>20992</Characters>
  <Application>Microsoft Office Word</Application>
  <DocSecurity>0</DocSecurity>
  <Lines>677</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Stewart, Jack</cp:lastModifiedBy>
  <cp:revision>5</cp:revision>
  <dcterms:created xsi:type="dcterms:W3CDTF">2026-04-08T20:48:00Z</dcterms:created>
  <dcterms:modified xsi:type="dcterms:W3CDTF">2026-04-09T19:21:00Z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0x010100EACAC77F7280B74F80D82FF7DAC59E62</vt:lpwstr>
  </property>
  <property fmtid="{D5CDD505-2E9C-101B-9397-08002B2CF9AE}" pid="4" name="docLang">
    <vt:lpwstr>en</vt:lpwstr>
  </property>
</Properties>
</file>