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6519" w:val="left" w:leader="none"/>
          <w:tab w:pos="6879" w:val="left" w:leader="none"/>
          <w:tab w:pos="7719" w:val="left" w:leader="none"/>
        </w:tabs>
        <w:spacing w:line="232" w:lineRule="auto" w:before="78"/>
        <w:ind w:left="160" w:right="199"/>
        <w:jc w:val="both"/>
      </w:pPr>
      <w:r>
        <w:rPr/>
        <w:t>Network Working Group</w:t>
        <w:tab/>
        <w:tab/>
        <w:t>K.</w:t>
      </w:r>
      <w:r>
        <w:rPr>
          <w:spacing w:val="-20"/>
        </w:rPr>
        <w:t> </w:t>
      </w:r>
      <w:r>
        <w:rPr/>
        <w:t>Zeilenga,</w:t>
      </w:r>
      <w:r>
        <w:rPr>
          <w:spacing w:val="-20"/>
        </w:rPr>
        <w:t> </w:t>
      </w:r>
      <w:r>
        <w:rPr/>
        <w:t>Ed. Request for Comments: 4510</w:t>
        <w:tab/>
        <w:t>OpenLDAP</w:t>
      </w:r>
      <w:r>
        <w:rPr>
          <w:spacing w:val="-32"/>
        </w:rPr>
        <w:t> </w:t>
      </w:r>
      <w:r>
        <w:rPr/>
        <w:t>Foundation Obsoletes:</w:t>
      </w:r>
      <w:r>
        <w:rPr>
          <w:spacing w:val="-6"/>
        </w:rPr>
        <w:t> </w:t>
      </w:r>
      <w:r>
        <w:rPr/>
        <w:t>2251,</w:t>
      </w:r>
      <w:r>
        <w:rPr>
          <w:spacing w:val="-6"/>
        </w:rPr>
        <w:t> </w:t>
      </w:r>
      <w:r>
        <w:rPr/>
        <w:t>2252,</w:t>
      </w:r>
      <w:r>
        <w:rPr>
          <w:spacing w:val="-6"/>
        </w:rPr>
        <w:t> </w:t>
      </w:r>
      <w:r>
        <w:rPr/>
        <w:t>2253,</w:t>
      </w:r>
      <w:r>
        <w:rPr>
          <w:spacing w:val="-6"/>
        </w:rPr>
        <w:t> </w:t>
      </w:r>
      <w:r>
        <w:rPr/>
        <w:t>2254,</w:t>
      </w:r>
      <w:r>
        <w:rPr>
          <w:spacing w:val="-6"/>
        </w:rPr>
        <w:t> </w:t>
      </w:r>
      <w:r>
        <w:rPr>
          <w:spacing w:val="-4"/>
        </w:rPr>
        <w:t>2255,</w:t>
      </w:r>
      <w:r>
        <w:rPr/>
        <w:tab/>
        <w:tab/>
        <w:tab/>
        <w:t>June</w:t>
      </w:r>
      <w:r>
        <w:rPr>
          <w:spacing w:val="-4"/>
        </w:rPr>
        <w:t> </w:t>
      </w:r>
      <w:r>
        <w:rPr>
          <w:spacing w:val="-4"/>
        </w:rPr>
        <w:t>2006</w:t>
      </w:r>
    </w:p>
    <w:p>
      <w:pPr>
        <w:pStyle w:val="BodyText"/>
        <w:spacing w:line="219" w:lineRule="exact"/>
        <w:ind w:left="1480"/>
        <w:jc w:val="both"/>
      </w:pPr>
      <w:r>
        <w:rPr/>
        <w:t>2256,</w:t>
      </w:r>
      <w:r>
        <w:rPr>
          <w:spacing w:val="-5"/>
        </w:rPr>
        <w:t> </w:t>
      </w:r>
      <w:r>
        <w:rPr/>
        <w:t>2829,</w:t>
      </w:r>
      <w:r>
        <w:rPr>
          <w:spacing w:val="-5"/>
        </w:rPr>
        <w:t> </w:t>
      </w:r>
      <w:r>
        <w:rPr/>
        <w:t>2830,</w:t>
      </w:r>
      <w:r>
        <w:rPr>
          <w:spacing w:val="-5"/>
        </w:rPr>
        <w:t> </w:t>
      </w:r>
      <w:r>
        <w:rPr/>
        <w:t>3377,</w:t>
      </w:r>
      <w:r>
        <w:rPr>
          <w:spacing w:val="-5"/>
        </w:rPr>
        <w:t> </w:t>
      </w:r>
      <w:r>
        <w:rPr>
          <w:spacing w:val="-4"/>
        </w:rPr>
        <w:t>3771</w:t>
      </w:r>
    </w:p>
    <w:p>
      <w:pPr>
        <w:pStyle w:val="BodyText"/>
        <w:spacing w:line="223" w:lineRule="exact"/>
        <w:ind w:left="160"/>
        <w:jc w:val="both"/>
      </w:pPr>
      <w:r>
        <w:rPr/>
        <w:t>Category:</w:t>
      </w:r>
      <w:r>
        <w:rPr>
          <w:spacing w:val="-9"/>
        </w:rPr>
        <w:t> </w:t>
      </w:r>
      <w:r>
        <w:rPr/>
        <w:t>Standards</w:t>
      </w:r>
      <w:r>
        <w:rPr>
          <w:spacing w:val="-9"/>
        </w:rPr>
        <w:t> </w:t>
      </w:r>
      <w:r>
        <w:rPr>
          <w:spacing w:val="-2"/>
        </w:rPr>
        <w:t>Track</w:t>
      </w:r>
    </w:p>
    <w:p>
      <w:pPr>
        <w:pStyle w:val="BodyText"/>
        <w:spacing w:before="212"/>
        <w:ind w:left="0"/>
      </w:pPr>
    </w:p>
    <w:p>
      <w:pPr>
        <w:pStyle w:val="BodyText"/>
        <w:spacing w:line="232" w:lineRule="auto"/>
        <w:ind w:left="2560" w:right="1342" w:hanging="840"/>
      </w:pPr>
      <w:r>
        <w:rPr/>
        <w:t>Lightweight</w:t>
      </w:r>
      <w:r>
        <w:rPr>
          <w:spacing w:val="-11"/>
        </w:rPr>
        <w:t> </w:t>
      </w:r>
      <w:r>
        <w:rPr/>
        <w:t>Directory</w:t>
      </w:r>
      <w:r>
        <w:rPr>
          <w:spacing w:val="-11"/>
        </w:rPr>
        <w:t> </w:t>
      </w:r>
      <w:r>
        <w:rPr/>
        <w:t>Access</w:t>
      </w:r>
      <w:r>
        <w:rPr>
          <w:spacing w:val="-11"/>
        </w:rPr>
        <w:t> </w:t>
      </w:r>
      <w:r>
        <w:rPr/>
        <w:t>Protocol</w:t>
      </w:r>
      <w:r>
        <w:rPr>
          <w:spacing w:val="-11"/>
        </w:rPr>
        <w:t> </w:t>
      </w:r>
      <w:r>
        <w:rPr/>
        <w:t>(LDAP): Technical Specification Road Map</w:t>
      </w:r>
    </w:p>
    <w:p>
      <w:pPr>
        <w:pStyle w:val="BodyText"/>
        <w:spacing w:before="216"/>
        <w:ind w:left="160"/>
      </w:pPr>
      <w:r>
        <w:rPr/>
        <w:t>Status</w:t>
      </w:r>
      <w:r>
        <w:rPr>
          <w:spacing w:val="-4"/>
        </w:rPr>
        <w:t> </w:t>
      </w:r>
      <w:r>
        <w:rPr/>
        <w:t>of</w:t>
      </w:r>
      <w:r>
        <w:rPr>
          <w:spacing w:val="-4"/>
        </w:rPr>
        <w:t> </w:t>
      </w:r>
      <w:r>
        <w:rPr/>
        <w:t>This</w:t>
      </w:r>
      <w:r>
        <w:rPr>
          <w:spacing w:val="-4"/>
        </w:rPr>
        <w:t> Memo</w:t>
      </w:r>
    </w:p>
    <w:p>
      <w:pPr>
        <w:pStyle w:val="BodyText"/>
        <w:spacing w:line="232" w:lineRule="auto" w:before="218"/>
        <w:ind w:right="199"/>
      </w:pPr>
      <w:r>
        <w:rPr/>
        <w:t>This document specifies an Internet standards track protocol for the Internet community, and requests discussion and suggestions for improvements.</w:t>
      </w:r>
      <w:r>
        <w:rPr>
          <w:spacing w:val="80"/>
        </w:rPr>
        <w:t> </w:t>
      </w:r>
      <w:r>
        <w:rPr/>
        <w:t>Please refer to the current edition of the "Internet Official Protocol Standards" (STD 1) for the standardization state and</w:t>
      </w:r>
      <w:r>
        <w:rPr>
          <w:spacing w:val="-4"/>
        </w:rPr>
        <w:t> </w:t>
      </w:r>
      <w:r>
        <w:rPr/>
        <w:t>status</w:t>
      </w:r>
      <w:r>
        <w:rPr>
          <w:spacing w:val="-4"/>
        </w:rPr>
        <w:t> </w:t>
      </w:r>
      <w:r>
        <w:rPr/>
        <w:t>of</w:t>
      </w:r>
      <w:r>
        <w:rPr>
          <w:spacing w:val="-4"/>
        </w:rPr>
        <w:t> </w:t>
      </w:r>
      <w:r>
        <w:rPr/>
        <w:t>this</w:t>
      </w:r>
      <w:r>
        <w:rPr>
          <w:spacing w:val="-4"/>
        </w:rPr>
        <w:t> </w:t>
      </w:r>
      <w:r>
        <w:rPr/>
        <w:t>protocol.</w:t>
      </w:r>
      <w:r>
        <w:rPr>
          <w:spacing w:val="80"/>
        </w:rPr>
        <w:t> </w:t>
      </w:r>
      <w:r>
        <w:rPr/>
        <w:t>Distribution</w:t>
      </w:r>
      <w:r>
        <w:rPr>
          <w:spacing w:val="-4"/>
        </w:rPr>
        <w:t> </w:t>
      </w:r>
      <w:r>
        <w:rPr/>
        <w:t>of</w:t>
      </w:r>
      <w:r>
        <w:rPr>
          <w:spacing w:val="-4"/>
        </w:rPr>
        <w:t> </w:t>
      </w:r>
      <w:r>
        <w:rPr/>
        <w:t>this</w:t>
      </w:r>
      <w:r>
        <w:rPr>
          <w:spacing w:val="-4"/>
        </w:rPr>
        <w:t> </w:t>
      </w:r>
      <w:r>
        <w:rPr/>
        <w:t>memo</w:t>
      </w:r>
      <w:r>
        <w:rPr>
          <w:spacing w:val="-4"/>
        </w:rPr>
        <w:t> </w:t>
      </w:r>
      <w:r>
        <w:rPr/>
        <w:t>is</w:t>
      </w:r>
      <w:r>
        <w:rPr>
          <w:spacing w:val="-4"/>
        </w:rPr>
        <w:t> </w:t>
      </w:r>
      <w:r>
        <w:rPr/>
        <w:t>unlimited.</w:t>
      </w:r>
    </w:p>
    <w:p>
      <w:pPr>
        <w:pStyle w:val="BodyText"/>
        <w:spacing w:before="216"/>
        <w:ind w:left="160"/>
      </w:pPr>
      <w:r>
        <w:rPr/>
        <w:t>Copyright</w:t>
      </w:r>
      <w:r>
        <w:rPr>
          <w:spacing w:val="-9"/>
        </w:rPr>
        <w:t> </w:t>
      </w:r>
      <w:r>
        <w:rPr>
          <w:spacing w:val="-2"/>
        </w:rPr>
        <w:t>Notice</w:t>
      </w:r>
    </w:p>
    <w:p>
      <w:pPr>
        <w:pStyle w:val="BodyText"/>
        <w:spacing w:before="214"/>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before="213"/>
        <w:ind w:left="160"/>
      </w:pPr>
      <w:r>
        <w:rPr>
          <w:spacing w:val="-2"/>
        </w:rPr>
        <w:t>Abstract</w:t>
      </w:r>
    </w:p>
    <w:p>
      <w:pPr>
        <w:pStyle w:val="BodyText"/>
        <w:spacing w:line="232" w:lineRule="auto" w:before="218"/>
        <w:ind w:right="338"/>
      </w:pPr>
      <w:r>
        <w:rPr/>
        <w:t>The Lightweight Directory Access Protocol (LDAP) is an Internet protocol</w:t>
      </w:r>
      <w:r>
        <w:rPr>
          <w:spacing w:val="-6"/>
        </w:rPr>
        <w:t> </w:t>
      </w:r>
      <w:r>
        <w:rPr/>
        <w:t>for</w:t>
      </w:r>
      <w:r>
        <w:rPr>
          <w:spacing w:val="-6"/>
        </w:rPr>
        <w:t> </w:t>
      </w:r>
      <w:r>
        <w:rPr/>
        <w:t>accessing</w:t>
      </w:r>
      <w:r>
        <w:rPr>
          <w:spacing w:val="-6"/>
        </w:rPr>
        <w:t> </w:t>
      </w:r>
      <w:r>
        <w:rPr/>
        <w:t>distributed</w:t>
      </w:r>
      <w:r>
        <w:rPr>
          <w:spacing w:val="-6"/>
        </w:rPr>
        <w:t> </w:t>
      </w:r>
      <w:r>
        <w:rPr/>
        <w:t>directory</w:t>
      </w:r>
      <w:r>
        <w:rPr>
          <w:spacing w:val="-6"/>
        </w:rPr>
        <w:t> </w:t>
      </w:r>
      <w:r>
        <w:rPr/>
        <w:t>services</w:t>
      </w:r>
      <w:r>
        <w:rPr>
          <w:spacing w:val="-6"/>
        </w:rPr>
        <w:t> </w:t>
      </w:r>
      <w:r>
        <w:rPr/>
        <w:t>that</w:t>
      </w:r>
      <w:r>
        <w:rPr>
          <w:spacing w:val="-6"/>
        </w:rPr>
        <w:t> </w:t>
      </w:r>
      <w:r>
        <w:rPr/>
        <w:t>act</w:t>
      </w:r>
      <w:r>
        <w:rPr>
          <w:spacing w:val="-6"/>
        </w:rPr>
        <w:t> </w:t>
      </w:r>
      <w:r>
        <w:rPr/>
        <w:t>in accordance with X.500 data and service models.</w:t>
      </w:r>
      <w:r>
        <w:rPr>
          <w:spacing w:val="80"/>
        </w:rPr>
        <w:t> </w:t>
      </w:r>
      <w:r>
        <w:rPr/>
        <w:t>This document provides a road map of the LDAP Technical Specification.</w:t>
      </w:r>
    </w:p>
    <w:p>
      <w:pPr>
        <w:pStyle w:val="ListParagraph"/>
        <w:numPr>
          <w:ilvl w:val="0"/>
          <w:numId w:val="1"/>
        </w:numPr>
        <w:tabs>
          <w:tab w:pos="638" w:val="left" w:leader="none"/>
        </w:tabs>
        <w:spacing w:line="240" w:lineRule="auto" w:before="216" w:after="0"/>
        <w:ind w:left="638" w:right="0" w:hanging="478"/>
        <w:jc w:val="left"/>
        <w:rPr>
          <w:sz w:val="20"/>
        </w:rPr>
      </w:pPr>
      <w:r>
        <w:rPr>
          <w:sz w:val="20"/>
        </w:rPr>
        <w:t>The</w:t>
      </w:r>
      <w:r>
        <w:rPr>
          <w:spacing w:val="-6"/>
          <w:sz w:val="20"/>
        </w:rPr>
        <w:t> </w:t>
      </w:r>
      <w:r>
        <w:rPr>
          <w:sz w:val="20"/>
        </w:rPr>
        <w:t>LDAP</w:t>
      </w:r>
      <w:r>
        <w:rPr>
          <w:spacing w:val="-5"/>
          <w:sz w:val="20"/>
        </w:rPr>
        <w:t> </w:t>
      </w:r>
      <w:r>
        <w:rPr>
          <w:sz w:val="20"/>
        </w:rPr>
        <w:t>Technical</w:t>
      </w:r>
      <w:r>
        <w:rPr>
          <w:spacing w:val="-5"/>
          <w:sz w:val="20"/>
        </w:rPr>
        <w:t> </w:t>
      </w:r>
      <w:r>
        <w:rPr>
          <w:spacing w:val="-2"/>
          <w:sz w:val="20"/>
        </w:rPr>
        <w:t>Specification</w:t>
      </w:r>
    </w:p>
    <w:p>
      <w:pPr>
        <w:pStyle w:val="BodyText"/>
        <w:spacing w:line="232" w:lineRule="auto" w:before="219"/>
        <w:ind w:right="338"/>
      </w:pPr>
      <w:r>
        <w:rPr/>
        <w:t>The technical specification detailing version 3 of the Lightweight Directory</w:t>
      </w:r>
      <w:r>
        <w:rPr>
          <w:spacing w:val="-6"/>
        </w:rPr>
        <w:t> </w:t>
      </w:r>
      <w:r>
        <w:rPr/>
        <w:t>Access</w:t>
      </w:r>
      <w:r>
        <w:rPr>
          <w:spacing w:val="-6"/>
        </w:rPr>
        <w:t> </w:t>
      </w:r>
      <w:r>
        <w:rPr/>
        <w:t>Protocol</w:t>
      </w:r>
      <w:r>
        <w:rPr>
          <w:spacing w:val="-6"/>
        </w:rPr>
        <w:t> </w:t>
      </w:r>
      <w:r>
        <w:rPr/>
        <w:t>(LDAP),</w:t>
      </w:r>
      <w:r>
        <w:rPr>
          <w:spacing w:val="-6"/>
        </w:rPr>
        <w:t> </w:t>
      </w:r>
      <w:r>
        <w:rPr/>
        <w:t>an</w:t>
      </w:r>
      <w:r>
        <w:rPr>
          <w:spacing w:val="-6"/>
        </w:rPr>
        <w:t> </w:t>
      </w:r>
      <w:r>
        <w:rPr/>
        <w:t>Internet</w:t>
      </w:r>
      <w:r>
        <w:rPr>
          <w:spacing w:val="-6"/>
        </w:rPr>
        <w:t> </w:t>
      </w:r>
      <w:r>
        <w:rPr/>
        <w:t>Protocol,</w:t>
      </w:r>
      <w:r>
        <w:rPr>
          <w:spacing w:val="-6"/>
        </w:rPr>
        <w:t> </w:t>
      </w:r>
      <w:r>
        <w:rPr/>
        <w:t>consists</w:t>
      </w:r>
      <w:r>
        <w:rPr>
          <w:spacing w:val="-6"/>
        </w:rPr>
        <w:t> </w:t>
      </w:r>
      <w:r>
        <w:rPr/>
        <w:t>of this document and the following documents:</w:t>
      </w:r>
    </w:p>
    <w:p>
      <w:pPr>
        <w:pStyle w:val="BodyText"/>
        <w:spacing w:line="223" w:lineRule="exact" w:before="216"/>
        <w:ind w:left="880"/>
      </w:pPr>
      <w:r>
        <w:rPr/>
        <w:t>LDAP:</w:t>
      </w:r>
      <w:r>
        <w:rPr>
          <w:spacing w:val="-6"/>
        </w:rPr>
        <w:t> </w:t>
      </w:r>
      <w:r>
        <w:rPr/>
        <w:t>The</w:t>
      </w:r>
      <w:r>
        <w:rPr>
          <w:spacing w:val="-5"/>
        </w:rPr>
        <w:t> </w:t>
      </w:r>
      <w:r>
        <w:rPr/>
        <w:t>Protocol</w:t>
      </w:r>
      <w:r>
        <w:rPr>
          <w:spacing w:val="-5"/>
        </w:rPr>
        <w:t> </w:t>
      </w:r>
      <w:r>
        <w:rPr>
          <w:spacing w:val="-2"/>
        </w:rPr>
        <w:t>[RFC4511]</w:t>
      </w:r>
    </w:p>
    <w:p>
      <w:pPr>
        <w:pStyle w:val="BodyText"/>
        <w:spacing w:line="220" w:lineRule="exact"/>
        <w:ind w:left="880"/>
      </w:pPr>
      <w:r>
        <w:rPr/>
        <w:t>LDAP:</w:t>
      </w:r>
      <w:r>
        <w:rPr>
          <w:spacing w:val="-8"/>
        </w:rPr>
        <w:t> </w:t>
      </w:r>
      <w:r>
        <w:rPr/>
        <w:t>Directory</w:t>
      </w:r>
      <w:r>
        <w:rPr>
          <w:spacing w:val="-8"/>
        </w:rPr>
        <w:t> </w:t>
      </w:r>
      <w:r>
        <w:rPr/>
        <w:t>Information</w:t>
      </w:r>
      <w:r>
        <w:rPr>
          <w:spacing w:val="-8"/>
        </w:rPr>
        <w:t> </w:t>
      </w:r>
      <w:r>
        <w:rPr/>
        <w:t>Models</w:t>
      </w:r>
      <w:r>
        <w:rPr>
          <w:spacing w:val="-7"/>
        </w:rPr>
        <w:t> </w:t>
      </w:r>
      <w:r>
        <w:rPr>
          <w:spacing w:val="-2"/>
        </w:rPr>
        <w:t>[RFC4512]</w:t>
      </w:r>
    </w:p>
    <w:p>
      <w:pPr>
        <w:pStyle w:val="BodyText"/>
        <w:spacing w:line="232" w:lineRule="auto" w:before="1"/>
        <w:ind w:left="880" w:right="338"/>
      </w:pPr>
      <w:r>
        <w:rPr/>
        <w:t>LDAP:</w:t>
      </w:r>
      <w:r>
        <w:rPr>
          <w:spacing w:val="-7"/>
        </w:rPr>
        <w:t> </w:t>
      </w:r>
      <w:r>
        <w:rPr/>
        <w:t>Authentication</w:t>
      </w:r>
      <w:r>
        <w:rPr>
          <w:spacing w:val="-7"/>
        </w:rPr>
        <w:t> </w:t>
      </w:r>
      <w:r>
        <w:rPr/>
        <w:t>Methods</w:t>
      </w:r>
      <w:r>
        <w:rPr>
          <w:spacing w:val="-7"/>
        </w:rPr>
        <w:t> </w:t>
      </w:r>
      <w:r>
        <w:rPr/>
        <w:t>and</w:t>
      </w:r>
      <w:r>
        <w:rPr>
          <w:spacing w:val="-7"/>
        </w:rPr>
        <w:t> </w:t>
      </w:r>
      <w:r>
        <w:rPr/>
        <w:t>Security</w:t>
      </w:r>
      <w:r>
        <w:rPr>
          <w:spacing w:val="-7"/>
        </w:rPr>
        <w:t> </w:t>
      </w:r>
      <w:r>
        <w:rPr/>
        <w:t>Mechanisms</w:t>
      </w:r>
      <w:r>
        <w:rPr>
          <w:spacing w:val="-7"/>
        </w:rPr>
        <w:t> </w:t>
      </w:r>
      <w:r>
        <w:rPr/>
        <w:t>[RFC4513] LDAP: String Representation of Distinguished Names [RFC4514] LDAP: String Representation of Search Filters [RFC4515]</w:t>
      </w:r>
    </w:p>
    <w:p>
      <w:pPr>
        <w:pStyle w:val="BodyText"/>
        <w:spacing w:line="232" w:lineRule="auto" w:before="1"/>
        <w:ind w:left="880" w:right="2739"/>
      </w:pPr>
      <w:r>
        <w:rPr/>
        <w:t>LDAP: Uniform Resource Locator [RFC4516] LDAP:</w:t>
      </w:r>
      <w:r>
        <w:rPr>
          <w:spacing w:val="-8"/>
        </w:rPr>
        <w:t> </w:t>
      </w:r>
      <w:r>
        <w:rPr/>
        <w:t>Syntaxes</w:t>
      </w:r>
      <w:r>
        <w:rPr>
          <w:spacing w:val="-9"/>
        </w:rPr>
        <w:t> </w:t>
      </w:r>
      <w:r>
        <w:rPr/>
        <w:t>and</w:t>
      </w:r>
      <w:r>
        <w:rPr>
          <w:spacing w:val="-8"/>
        </w:rPr>
        <w:t> </w:t>
      </w:r>
      <w:r>
        <w:rPr/>
        <w:t>Matching</w:t>
      </w:r>
      <w:r>
        <w:rPr>
          <w:spacing w:val="-9"/>
        </w:rPr>
        <w:t> </w:t>
      </w:r>
      <w:r>
        <w:rPr/>
        <w:t>Rules</w:t>
      </w:r>
      <w:r>
        <w:rPr>
          <w:spacing w:val="-8"/>
        </w:rPr>
        <w:t> </w:t>
      </w:r>
      <w:r>
        <w:rPr/>
        <w:t>[RFC4517]</w:t>
      </w:r>
    </w:p>
    <w:p>
      <w:pPr>
        <w:pStyle w:val="BodyText"/>
        <w:spacing w:line="232" w:lineRule="auto"/>
        <w:ind w:left="880" w:right="1342"/>
      </w:pPr>
      <w:r>
        <w:rPr/>
        <w:t>LDAP:</w:t>
      </w:r>
      <w:r>
        <w:rPr>
          <w:spacing w:val="-11"/>
        </w:rPr>
        <w:t> </w:t>
      </w:r>
      <w:r>
        <w:rPr/>
        <w:t>Internationalized</w:t>
      </w:r>
      <w:r>
        <w:rPr>
          <w:spacing w:val="-11"/>
        </w:rPr>
        <w:t> </w:t>
      </w:r>
      <w:r>
        <w:rPr/>
        <w:t>String</w:t>
      </w:r>
      <w:r>
        <w:rPr>
          <w:spacing w:val="-11"/>
        </w:rPr>
        <w:t> </w:t>
      </w:r>
      <w:r>
        <w:rPr/>
        <w:t>Preparation</w:t>
      </w:r>
      <w:r>
        <w:rPr>
          <w:spacing w:val="-11"/>
        </w:rPr>
        <w:t> </w:t>
      </w:r>
      <w:r>
        <w:rPr/>
        <w:t>[RFC4518] LDAP: Schema for User Applications [RFC4519]</w:t>
      </w:r>
    </w:p>
    <w:p>
      <w:pPr>
        <w:pStyle w:val="BodyText"/>
        <w:spacing w:after="0" w:line="232" w:lineRule="auto"/>
        <w:sectPr>
          <w:footerReference w:type="default" r:id="rId5"/>
          <w:type w:val="continuous"/>
          <w:pgSz w:w="12240" w:h="15840"/>
          <w:pgMar w:header="0" w:footer="2527" w:top="1820" w:bottom="2720" w:left="1440" w:right="1800"/>
          <w:pgNumType w:start="1"/>
        </w:sectPr>
      </w:pPr>
    </w:p>
    <w:p>
      <w:pPr>
        <w:pStyle w:val="BodyText"/>
        <w:spacing w:line="232" w:lineRule="auto" w:before="95"/>
        <w:ind w:right="338"/>
      </w:pPr>
      <w:r>
        <w:rPr/>
        <w:t>The terms "LDAP" and "LDAPv3" are commonly used to refer informally to</w:t>
      </w:r>
      <w:r>
        <w:rPr>
          <w:spacing w:val="-5"/>
        </w:rPr>
        <w:t> </w:t>
      </w:r>
      <w:r>
        <w:rPr/>
        <w:t>the</w:t>
      </w:r>
      <w:r>
        <w:rPr>
          <w:spacing w:val="-5"/>
        </w:rPr>
        <w:t> </w:t>
      </w:r>
      <w:r>
        <w:rPr/>
        <w:t>protocol</w:t>
      </w:r>
      <w:r>
        <w:rPr>
          <w:spacing w:val="-5"/>
        </w:rPr>
        <w:t> </w:t>
      </w:r>
      <w:r>
        <w:rPr/>
        <w:t>specified</w:t>
      </w:r>
      <w:r>
        <w:rPr>
          <w:spacing w:val="-5"/>
        </w:rPr>
        <w:t> </w:t>
      </w:r>
      <w:r>
        <w:rPr/>
        <w:t>by</w:t>
      </w:r>
      <w:r>
        <w:rPr>
          <w:spacing w:val="-5"/>
        </w:rPr>
        <w:t> </w:t>
      </w:r>
      <w:r>
        <w:rPr/>
        <w:t>this</w:t>
      </w:r>
      <w:r>
        <w:rPr>
          <w:spacing w:val="-5"/>
        </w:rPr>
        <w:t> </w:t>
      </w:r>
      <w:r>
        <w:rPr/>
        <w:t>technical</w:t>
      </w:r>
      <w:r>
        <w:rPr>
          <w:spacing w:val="-5"/>
        </w:rPr>
        <w:t> </w:t>
      </w:r>
      <w:r>
        <w:rPr/>
        <w:t>specification.</w:t>
      </w:r>
      <w:r>
        <w:rPr>
          <w:spacing w:val="80"/>
        </w:rPr>
        <w:t> </w:t>
      </w:r>
      <w:r>
        <w:rPr/>
        <w:t>The</w:t>
      </w:r>
      <w:r>
        <w:rPr>
          <w:spacing w:val="-5"/>
        </w:rPr>
        <w:t> </w:t>
      </w:r>
      <w:r>
        <w:rPr/>
        <w:t>LDAP suite, as defined here, should be formally identified in other documents by a normative reference to this document.</w:t>
      </w:r>
    </w:p>
    <w:p>
      <w:pPr>
        <w:pStyle w:val="BodyText"/>
        <w:spacing w:line="232" w:lineRule="auto" w:before="221"/>
        <w:ind w:right="338"/>
      </w:pPr>
      <w:r>
        <w:rPr/>
        <w:t>LDAP</w:t>
      </w:r>
      <w:r>
        <w:rPr>
          <w:spacing w:val="-4"/>
        </w:rPr>
        <w:t> </w:t>
      </w:r>
      <w:r>
        <w:rPr/>
        <w:t>is</w:t>
      </w:r>
      <w:r>
        <w:rPr>
          <w:spacing w:val="-4"/>
        </w:rPr>
        <w:t> </w:t>
      </w:r>
      <w:r>
        <w:rPr/>
        <w:t>an</w:t>
      </w:r>
      <w:r>
        <w:rPr>
          <w:spacing w:val="-4"/>
        </w:rPr>
        <w:t> </w:t>
      </w:r>
      <w:r>
        <w:rPr/>
        <w:t>extensible</w:t>
      </w:r>
      <w:r>
        <w:rPr>
          <w:spacing w:val="-4"/>
        </w:rPr>
        <w:t> </w:t>
      </w:r>
      <w:r>
        <w:rPr/>
        <w:t>protocol.</w:t>
      </w:r>
      <w:r>
        <w:rPr>
          <w:spacing w:val="80"/>
        </w:rPr>
        <w:t> </w:t>
      </w:r>
      <w:r>
        <w:rPr/>
        <w:t>Extensions</w:t>
      </w:r>
      <w:r>
        <w:rPr>
          <w:spacing w:val="-4"/>
        </w:rPr>
        <w:t> </w:t>
      </w:r>
      <w:r>
        <w:rPr/>
        <w:t>to</w:t>
      </w:r>
      <w:r>
        <w:rPr>
          <w:spacing w:val="-4"/>
        </w:rPr>
        <w:t> </w:t>
      </w:r>
      <w:r>
        <w:rPr/>
        <w:t>LDAP</w:t>
      </w:r>
      <w:r>
        <w:rPr>
          <w:spacing w:val="-4"/>
        </w:rPr>
        <w:t> </w:t>
      </w:r>
      <w:r>
        <w:rPr/>
        <w:t>may</w:t>
      </w:r>
      <w:r>
        <w:rPr>
          <w:spacing w:val="-4"/>
        </w:rPr>
        <w:t> </w:t>
      </w:r>
      <w:r>
        <w:rPr/>
        <w:t>be</w:t>
      </w:r>
      <w:r>
        <w:rPr>
          <w:spacing w:val="-4"/>
        </w:rPr>
        <w:t> </w:t>
      </w:r>
      <w:r>
        <w:rPr/>
        <w:t>specified in other documents.</w:t>
      </w:r>
      <w:r>
        <w:rPr>
          <w:spacing w:val="80"/>
        </w:rPr>
        <w:t> </w:t>
      </w:r>
      <w:r>
        <w:rPr/>
        <w:t>Nomenclature denoting such combinations of</w:t>
      </w:r>
    </w:p>
    <w:p>
      <w:pPr>
        <w:pStyle w:val="BodyText"/>
        <w:spacing w:line="232" w:lineRule="auto"/>
        <w:ind w:right="319"/>
      </w:pPr>
      <w:r>
        <w:rPr/>
        <w:t>LDAP-plus-extensions is not defined by this document but may be defined in some future document(s).</w:t>
      </w:r>
      <w:r>
        <w:rPr>
          <w:spacing w:val="80"/>
        </w:rPr>
        <w:t> </w:t>
      </w:r>
      <w:r>
        <w:rPr/>
        <w:t>Extensions are expected to be truly</w:t>
      </w:r>
      <w:r>
        <w:rPr>
          <w:spacing w:val="-5"/>
        </w:rPr>
        <w:t> </w:t>
      </w:r>
      <w:r>
        <w:rPr/>
        <w:t>optional.</w:t>
      </w:r>
      <w:r>
        <w:rPr>
          <w:spacing w:val="80"/>
        </w:rPr>
        <w:t> </w:t>
      </w:r>
      <w:r>
        <w:rPr/>
        <w:t>Considerations</w:t>
      </w:r>
      <w:r>
        <w:rPr>
          <w:spacing w:val="-5"/>
        </w:rPr>
        <w:t> </w:t>
      </w:r>
      <w:r>
        <w:rPr/>
        <w:t>for</w:t>
      </w:r>
      <w:r>
        <w:rPr>
          <w:spacing w:val="-5"/>
        </w:rPr>
        <w:t> </w:t>
      </w:r>
      <w:r>
        <w:rPr/>
        <w:t>the</w:t>
      </w:r>
      <w:r>
        <w:rPr>
          <w:spacing w:val="-5"/>
        </w:rPr>
        <w:t> </w:t>
      </w:r>
      <w:r>
        <w:rPr/>
        <w:t>LDAP</w:t>
      </w:r>
      <w:r>
        <w:rPr>
          <w:spacing w:val="-5"/>
        </w:rPr>
        <w:t> </w:t>
      </w:r>
      <w:r>
        <w:rPr/>
        <w:t>extensions</w:t>
      </w:r>
      <w:r>
        <w:rPr>
          <w:spacing w:val="-5"/>
        </w:rPr>
        <w:t> </w:t>
      </w:r>
      <w:r>
        <w:rPr/>
        <w:t>described</w:t>
      </w:r>
      <w:r>
        <w:rPr>
          <w:spacing w:val="-5"/>
        </w:rPr>
        <w:t> </w:t>
      </w:r>
      <w:r>
        <w:rPr/>
        <w:t>in BCP</w:t>
      </w:r>
      <w:r>
        <w:rPr>
          <w:spacing w:val="-4"/>
        </w:rPr>
        <w:t> </w:t>
      </w:r>
      <w:r>
        <w:rPr/>
        <w:t>118,</w:t>
      </w:r>
      <w:r>
        <w:rPr>
          <w:spacing w:val="-4"/>
        </w:rPr>
        <w:t> </w:t>
      </w:r>
      <w:r>
        <w:rPr/>
        <w:t>RFC</w:t>
      </w:r>
      <w:r>
        <w:rPr>
          <w:spacing w:val="-4"/>
        </w:rPr>
        <w:t> </w:t>
      </w:r>
      <w:r>
        <w:rPr/>
        <w:t>4521</w:t>
      </w:r>
      <w:r>
        <w:rPr>
          <w:spacing w:val="-4"/>
        </w:rPr>
        <w:t> </w:t>
      </w:r>
      <w:r>
        <w:rPr/>
        <w:t>[RFC4521]</w:t>
      </w:r>
      <w:r>
        <w:rPr>
          <w:spacing w:val="-4"/>
        </w:rPr>
        <w:t> </w:t>
      </w:r>
      <w:r>
        <w:rPr/>
        <w:t>fully</w:t>
      </w:r>
      <w:r>
        <w:rPr>
          <w:spacing w:val="-4"/>
        </w:rPr>
        <w:t> </w:t>
      </w:r>
      <w:r>
        <w:rPr/>
        <w:t>apply</w:t>
      </w:r>
      <w:r>
        <w:rPr>
          <w:spacing w:val="-4"/>
        </w:rPr>
        <w:t> </w:t>
      </w:r>
      <w:r>
        <w:rPr/>
        <w:t>to</w:t>
      </w:r>
      <w:r>
        <w:rPr>
          <w:spacing w:val="-4"/>
        </w:rPr>
        <w:t> </w:t>
      </w:r>
      <w:r>
        <w:rPr/>
        <w:t>this</w:t>
      </w:r>
      <w:r>
        <w:rPr>
          <w:spacing w:val="-4"/>
        </w:rPr>
        <w:t> </w:t>
      </w:r>
      <w:r>
        <w:rPr/>
        <w:t>revision</w:t>
      </w:r>
      <w:r>
        <w:rPr>
          <w:spacing w:val="-4"/>
        </w:rPr>
        <w:t> </w:t>
      </w:r>
      <w:r>
        <w:rPr/>
        <w:t>of</w:t>
      </w:r>
      <w:r>
        <w:rPr>
          <w:spacing w:val="-4"/>
        </w:rPr>
        <w:t> </w:t>
      </w:r>
      <w:r>
        <w:rPr/>
        <w:t>the</w:t>
      </w:r>
      <w:r>
        <w:rPr>
          <w:spacing w:val="-4"/>
        </w:rPr>
        <w:t> </w:t>
      </w:r>
      <w:r>
        <w:rPr/>
        <w:t>LDAP Technical Specification.</w:t>
      </w:r>
    </w:p>
    <w:p>
      <w:pPr>
        <w:pStyle w:val="BodyText"/>
        <w:spacing w:line="232" w:lineRule="auto" w:before="221"/>
        <w:ind w:right="319"/>
      </w:pPr>
      <w:r>
        <w:rPr/>
        <w:t>IANA (Internet Assigned Numbers Authority) considerations for LDAP described</w:t>
      </w:r>
      <w:r>
        <w:rPr>
          <w:spacing w:val="-4"/>
        </w:rPr>
        <w:t> </w:t>
      </w:r>
      <w:r>
        <w:rPr/>
        <w:t>in</w:t>
      </w:r>
      <w:r>
        <w:rPr>
          <w:spacing w:val="-4"/>
        </w:rPr>
        <w:t> </w:t>
      </w:r>
      <w:r>
        <w:rPr/>
        <w:t>BCP</w:t>
      </w:r>
      <w:r>
        <w:rPr>
          <w:spacing w:val="-4"/>
        </w:rPr>
        <w:t> </w:t>
      </w:r>
      <w:r>
        <w:rPr/>
        <w:t>64,</w:t>
      </w:r>
      <w:r>
        <w:rPr>
          <w:spacing w:val="-4"/>
        </w:rPr>
        <w:t> </w:t>
      </w:r>
      <w:r>
        <w:rPr/>
        <w:t>RFC</w:t>
      </w:r>
      <w:r>
        <w:rPr>
          <w:spacing w:val="-4"/>
        </w:rPr>
        <w:t> </w:t>
      </w:r>
      <w:r>
        <w:rPr/>
        <w:t>4520</w:t>
      </w:r>
      <w:r>
        <w:rPr>
          <w:spacing w:val="-4"/>
        </w:rPr>
        <w:t> </w:t>
      </w:r>
      <w:r>
        <w:rPr/>
        <w:t>[RFC4520]</w:t>
      </w:r>
      <w:r>
        <w:rPr>
          <w:spacing w:val="-4"/>
        </w:rPr>
        <w:t> </w:t>
      </w:r>
      <w:r>
        <w:rPr/>
        <w:t>apply</w:t>
      </w:r>
      <w:r>
        <w:rPr>
          <w:spacing w:val="-4"/>
        </w:rPr>
        <w:t> </w:t>
      </w:r>
      <w:r>
        <w:rPr/>
        <w:t>fully</w:t>
      </w:r>
      <w:r>
        <w:rPr>
          <w:spacing w:val="-4"/>
        </w:rPr>
        <w:t> </w:t>
      </w:r>
      <w:r>
        <w:rPr/>
        <w:t>to</w:t>
      </w:r>
      <w:r>
        <w:rPr>
          <w:spacing w:val="-4"/>
        </w:rPr>
        <w:t> </w:t>
      </w:r>
      <w:r>
        <w:rPr/>
        <w:t>this</w:t>
      </w:r>
      <w:r>
        <w:rPr>
          <w:spacing w:val="-4"/>
        </w:rPr>
        <w:t> </w:t>
      </w:r>
      <w:r>
        <w:rPr/>
        <w:t>revision of the LDAP technical specification.</w:t>
      </w:r>
    </w:p>
    <w:p>
      <w:pPr>
        <w:pStyle w:val="ListParagraph"/>
        <w:numPr>
          <w:ilvl w:val="1"/>
          <w:numId w:val="1"/>
        </w:numPr>
        <w:tabs>
          <w:tab w:pos="876" w:val="left" w:leader="none"/>
        </w:tabs>
        <w:spacing w:line="240" w:lineRule="auto" w:before="216" w:after="0"/>
        <w:ind w:left="876" w:right="0" w:hanging="716"/>
        <w:jc w:val="left"/>
        <w:rPr>
          <w:sz w:val="20"/>
        </w:rPr>
      </w:pPr>
      <w:r>
        <w:rPr>
          <w:spacing w:val="-2"/>
          <w:sz w:val="20"/>
        </w:rPr>
        <w:t>Conventions</w:t>
      </w:r>
    </w:p>
    <w:p>
      <w:pPr>
        <w:pStyle w:val="BodyText"/>
        <w:spacing w:line="232" w:lineRule="auto" w:before="218"/>
      </w:pPr>
      <w:r>
        <w:rPr/>
        <w:t>The key words "MUST", "MUST NOT", "REQUIRED", "SHALL", "SHALL NOT", "SHOULD",</w:t>
      </w:r>
      <w:r>
        <w:rPr>
          <w:spacing w:val="-6"/>
        </w:rPr>
        <w:t> </w:t>
      </w:r>
      <w:r>
        <w:rPr/>
        <w:t>"SHOULD</w:t>
      </w:r>
      <w:r>
        <w:rPr>
          <w:spacing w:val="-6"/>
        </w:rPr>
        <w:t> </w:t>
      </w:r>
      <w:r>
        <w:rPr/>
        <w:t>NOT",</w:t>
      </w:r>
      <w:r>
        <w:rPr>
          <w:spacing w:val="-6"/>
        </w:rPr>
        <w:t> </w:t>
      </w:r>
      <w:r>
        <w:rPr/>
        <w:t>"RECOMMENDED",</w:t>
      </w:r>
      <w:r>
        <w:rPr>
          <w:spacing w:val="-6"/>
        </w:rPr>
        <w:t> </w:t>
      </w:r>
      <w:r>
        <w:rPr/>
        <w:t>"MAY",</w:t>
      </w:r>
      <w:r>
        <w:rPr>
          <w:spacing w:val="-6"/>
        </w:rPr>
        <w:t> </w:t>
      </w:r>
      <w:r>
        <w:rPr/>
        <w:t>and</w:t>
      </w:r>
      <w:r>
        <w:rPr>
          <w:spacing w:val="-6"/>
        </w:rPr>
        <w:t> </w:t>
      </w:r>
      <w:r>
        <w:rPr/>
        <w:t>"OPTIONAL"</w:t>
      </w:r>
      <w:r>
        <w:rPr>
          <w:spacing w:val="-6"/>
        </w:rPr>
        <w:t> </w:t>
      </w:r>
      <w:r>
        <w:rPr/>
        <w:t>in</w:t>
      </w:r>
      <w:r>
        <w:rPr>
          <w:spacing w:val="-6"/>
        </w:rPr>
        <w:t> </w:t>
      </w:r>
      <w:r>
        <w:rPr/>
        <w:t>this</w:t>
      </w:r>
    </w:p>
    <w:p>
      <w:pPr>
        <w:pStyle w:val="BodyText"/>
        <w:spacing w:line="222" w:lineRule="exact"/>
      </w:pPr>
      <w:r>
        <w:rPr/>
        <w:t>document</w:t>
      </w:r>
      <w:r>
        <w:rPr>
          <w:spacing w:val="-7"/>
        </w:rPr>
        <w:t> </w:t>
      </w:r>
      <w:r>
        <w:rPr/>
        <w:t>are</w:t>
      </w:r>
      <w:r>
        <w:rPr>
          <w:spacing w:val="-4"/>
        </w:rPr>
        <w:t> </w:t>
      </w:r>
      <w:r>
        <w:rPr/>
        <w:t>to</w:t>
      </w:r>
      <w:r>
        <w:rPr>
          <w:spacing w:val="-5"/>
        </w:rPr>
        <w:t> </w:t>
      </w:r>
      <w:r>
        <w:rPr/>
        <w:t>be</w:t>
      </w:r>
      <w:r>
        <w:rPr>
          <w:spacing w:val="-4"/>
        </w:rPr>
        <w:t> </w:t>
      </w:r>
      <w:r>
        <w:rPr/>
        <w:t>interpreted</w:t>
      </w:r>
      <w:r>
        <w:rPr>
          <w:spacing w:val="-4"/>
        </w:rPr>
        <w:t> </w:t>
      </w:r>
      <w:r>
        <w:rPr/>
        <w:t>as</w:t>
      </w:r>
      <w:r>
        <w:rPr>
          <w:spacing w:val="-5"/>
        </w:rPr>
        <w:t> </w:t>
      </w:r>
      <w:r>
        <w:rPr/>
        <w:t>described</w:t>
      </w:r>
      <w:r>
        <w:rPr>
          <w:spacing w:val="-4"/>
        </w:rPr>
        <w:t> </w:t>
      </w:r>
      <w:r>
        <w:rPr/>
        <w:t>in</w:t>
      </w:r>
      <w:r>
        <w:rPr>
          <w:spacing w:val="-5"/>
        </w:rPr>
        <w:t> </w:t>
      </w:r>
      <w:r>
        <w:rPr/>
        <w:t>BCP</w:t>
      </w:r>
      <w:r>
        <w:rPr>
          <w:spacing w:val="-4"/>
        </w:rPr>
        <w:t> </w:t>
      </w:r>
      <w:r>
        <w:rPr/>
        <w:t>14</w:t>
      </w:r>
      <w:r>
        <w:rPr>
          <w:spacing w:val="-4"/>
        </w:rPr>
        <w:t> </w:t>
      </w:r>
      <w:r>
        <w:rPr>
          <w:spacing w:val="-2"/>
        </w:rPr>
        <w:t>[RFC2119].</w:t>
      </w:r>
    </w:p>
    <w:p>
      <w:pPr>
        <w:pStyle w:val="ListParagraph"/>
        <w:numPr>
          <w:ilvl w:val="0"/>
          <w:numId w:val="1"/>
        </w:numPr>
        <w:tabs>
          <w:tab w:pos="638" w:val="left" w:leader="none"/>
        </w:tabs>
        <w:spacing w:line="240" w:lineRule="auto" w:before="214" w:after="0"/>
        <w:ind w:left="638" w:right="0" w:hanging="478"/>
        <w:jc w:val="left"/>
        <w:rPr>
          <w:sz w:val="20"/>
        </w:rPr>
      </w:pPr>
      <w:r>
        <w:rPr>
          <w:sz w:val="20"/>
        </w:rPr>
        <w:t>Relationship</w:t>
      </w:r>
      <w:r>
        <w:rPr>
          <w:spacing w:val="-7"/>
          <w:sz w:val="20"/>
        </w:rPr>
        <w:t> </w:t>
      </w:r>
      <w:r>
        <w:rPr>
          <w:sz w:val="20"/>
        </w:rPr>
        <w:t>to</w:t>
      </w:r>
      <w:r>
        <w:rPr>
          <w:spacing w:val="-7"/>
          <w:sz w:val="20"/>
        </w:rPr>
        <w:t> </w:t>
      </w:r>
      <w:r>
        <w:rPr>
          <w:spacing w:val="-2"/>
          <w:sz w:val="20"/>
        </w:rPr>
        <w:t>X.500</w:t>
      </w:r>
    </w:p>
    <w:p>
      <w:pPr>
        <w:pStyle w:val="BodyText"/>
        <w:spacing w:line="223" w:lineRule="exact" w:before="213"/>
      </w:pPr>
      <w:r>
        <w:rPr/>
        <w:t>This</w:t>
      </w:r>
      <w:r>
        <w:rPr>
          <w:spacing w:val="-6"/>
        </w:rPr>
        <w:t> </w:t>
      </w:r>
      <w:r>
        <w:rPr/>
        <w:t>technical</w:t>
      </w:r>
      <w:r>
        <w:rPr>
          <w:spacing w:val="-5"/>
        </w:rPr>
        <w:t> </w:t>
      </w:r>
      <w:r>
        <w:rPr/>
        <w:t>specification</w:t>
      </w:r>
      <w:r>
        <w:rPr>
          <w:spacing w:val="-6"/>
        </w:rPr>
        <w:t> </w:t>
      </w:r>
      <w:r>
        <w:rPr/>
        <w:t>defines</w:t>
      </w:r>
      <w:r>
        <w:rPr>
          <w:spacing w:val="-5"/>
        </w:rPr>
        <w:t> </w:t>
      </w:r>
      <w:r>
        <w:rPr/>
        <w:t>LDAP</w:t>
      </w:r>
      <w:r>
        <w:rPr>
          <w:spacing w:val="-6"/>
        </w:rPr>
        <w:t> </w:t>
      </w:r>
      <w:r>
        <w:rPr/>
        <w:t>in</w:t>
      </w:r>
      <w:r>
        <w:rPr>
          <w:spacing w:val="-5"/>
        </w:rPr>
        <w:t> </w:t>
      </w:r>
      <w:r>
        <w:rPr/>
        <w:t>terms</w:t>
      </w:r>
      <w:r>
        <w:rPr>
          <w:spacing w:val="-6"/>
        </w:rPr>
        <w:t> </w:t>
      </w:r>
      <w:r>
        <w:rPr/>
        <w:t>of</w:t>
      </w:r>
      <w:r>
        <w:rPr>
          <w:spacing w:val="-5"/>
        </w:rPr>
        <w:t> </w:t>
      </w:r>
      <w:r>
        <w:rPr/>
        <w:t>[X.500]</w:t>
      </w:r>
      <w:r>
        <w:rPr>
          <w:spacing w:val="-6"/>
        </w:rPr>
        <w:t> </w:t>
      </w:r>
      <w:r>
        <w:rPr/>
        <w:t>as</w:t>
      </w:r>
      <w:r>
        <w:rPr>
          <w:spacing w:val="-5"/>
        </w:rPr>
        <w:t> an</w:t>
      </w:r>
    </w:p>
    <w:p>
      <w:pPr>
        <w:pStyle w:val="BodyText"/>
        <w:spacing w:line="232" w:lineRule="auto" w:before="2"/>
        <w:ind w:right="319"/>
      </w:pPr>
      <w:r>
        <w:rPr/>
        <w:t>X.500 access mechanism.</w:t>
      </w:r>
      <w:r>
        <w:rPr>
          <w:spacing w:val="80"/>
        </w:rPr>
        <w:t> </w:t>
      </w:r>
      <w:r>
        <w:rPr/>
        <w:t>An LDAP server MUST act in accordance with the X.500 (1993) series of International Telecommunication Union - Telecommunication Standardization (ITU-T) Recommendations when providing the service.</w:t>
      </w:r>
      <w:r>
        <w:rPr>
          <w:spacing w:val="80"/>
        </w:rPr>
        <w:t> </w:t>
      </w:r>
      <w:r>
        <w:rPr/>
        <w:t>However, it is not required that an LDAP server make use of any X.500 protocols in providing this service. For example, LDAP can be mapped onto any other directory system so long</w:t>
      </w:r>
      <w:r>
        <w:rPr>
          <w:spacing w:val="-4"/>
        </w:rPr>
        <w:t> </w:t>
      </w:r>
      <w:r>
        <w:rPr/>
        <w:t>as</w:t>
      </w:r>
      <w:r>
        <w:rPr>
          <w:spacing w:val="-4"/>
        </w:rPr>
        <w:t> </w:t>
      </w:r>
      <w:r>
        <w:rPr/>
        <w:t>the</w:t>
      </w:r>
      <w:r>
        <w:rPr>
          <w:spacing w:val="-4"/>
        </w:rPr>
        <w:t> </w:t>
      </w:r>
      <w:r>
        <w:rPr/>
        <w:t>X.500</w:t>
      </w:r>
      <w:r>
        <w:rPr>
          <w:spacing w:val="-4"/>
        </w:rPr>
        <w:t> </w:t>
      </w:r>
      <w:r>
        <w:rPr/>
        <w:t>data</w:t>
      </w:r>
      <w:r>
        <w:rPr>
          <w:spacing w:val="-4"/>
        </w:rPr>
        <w:t> </w:t>
      </w:r>
      <w:r>
        <w:rPr/>
        <w:t>and</w:t>
      </w:r>
      <w:r>
        <w:rPr>
          <w:spacing w:val="-4"/>
        </w:rPr>
        <w:t> </w:t>
      </w:r>
      <w:r>
        <w:rPr/>
        <w:t>service</w:t>
      </w:r>
      <w:r>
        <w:rPr>
          <w:spacing w:val="-4"/>
        </w:rPr>
        <w:t> </w:t>
      </w:r>
      <w:r>
        <w:rPr/>
        <w:t>models</w:t>
      </w:r>
      <w:r>
        <w:rPr>
          <w:spacing w:val="-4"/>
        </w:rPr>
        <w:t> </w:t>
      </w:r>
      <w:r>
        <w:rPr/>
        <w:t>[X.501][X.511],</w:t>
      </w:r>
      <w:r>
        <w:rPr>
          <w:spacing w:val="-4"/>
        </w:rPr>
        <w:t> </w:t>
      </w:r>
      <w:r>
        <w:rPr/>
        <w:t>as</w:t>
      </w:r>
      <w:r>
        <w:rPr>
          <w:spacing w:val="-4"/>
        </w:rPr>
        <w:t> </w:t>
      </w:r>
      <w:r>
        <w:rPr/>
        <w:t>used</w:t>
      </w:r>
      <w:r>
        <w:rPr>
          <w:spacing w:val="-4"/>
        </w:rPr>
        <w:t> </w:t>
      </w:r>
      <w:r>
        <w:rPr/>
        <w:t>in LDAP, are not violated in the LDAP interface.</w:t>
      </w:r>
    </w:p>
    <w:p>
      <w:pPr>
        <w:pStyle w:val="BodyText"/>
        <w:spacing w:line="232" w:lineRule="auto" w:before="222"/>
        <w:ind w:right="338"/>
      </w:pPr>
      <w:r>
        <w:rPr/>
        <w:t>This technical specification explicitly incorporates portions of X.500(93).</w:t>
      </w:r>
      <w:r>
        <w:rPr>
          <w:spacing w:val="80"/>
        </w:rPr>
        <w:t> </w:t>
      </w:r>
      <w:r>
        <w:rPr/>
        <w:t>Later</w:t>
      </w:r>
      <w:r>
        <w:rPr>
          <w:spacing w:val="-5"/>
        </w:rPr>
        <w:t> </w:t>
      </w:r>
      <w:r>
        <w:rPr/>
        <w:t>revisions</w:t>
      </w:r>
      <w:r>
        <w:rPr>
          <w:spacing w:val="-5"/>
        </w:rPr>
        <w:t> </w:t>
      </w:r>
      <w:r>
        <w:rPr/>
        <w:t>of</w:t>
      </w:r>
      <w:r>
        <w:rPr>
          <w:spacing w:val="-5"/>
        </w:rPr>
        <w:t> </w:t>
      </w:r>
      <w:r>
        <w:rPr/>
        <w:t>X.500</w:t>
      </w:r>
      <w:r>
        <w:rPr>
          <w:spacing w:val="-5"/>
        </w:rPr>
        <w:t> </w:t>
      </w:r>
      <w:r>
        <w:rPr/>
        <w:t>do</w:t>
      </w:r>
      <w:r>
        <w:rPr>
          <w:spacing w:val="-5"/>
        </w:rPr>
        <w:t> </w:t>
      </w:r>
      <w:r>
        <w:rPr/>
        <w:t>not</w:t>
      </w:r>
      <w:r>
        <w:rPr>
          <w:spacing w:val="-5"/>
        </w:rPr>
        <w:t> </w:t>
      </w:r>
      <w:r>
        <w:rPr/>
        <w:t>automatically</w:t>
      </w:r>
      <w:r>
        <w:rPr>
          <w:spacing w:val="-5"/>
        </w:rPr>
        <w:t> </w:t>
      </w:r>
      <w:r>
        <w:rPr/>
        <w:t>apply</w:t>
      </w:r>
      <w:r>
        <w:rPr>
          <w:spacing w:val="-5"/>
        </w:rPr>
        <w:t> </w:t>
      </w:r>
      <w:r>
        <w:rPr/>
        <w:t>to this technical specification.</w:t>
      </w:r>
    </w:p>
    <w:p>
      <w:pPr>
        <w:pStyle w:val="ListParagraph"/>
        <w:numPr>
          <w:ilvl w:val="0"/>
          <w:numId w:val="1"/>
        </w:numPr>
        <w:tabs>
          <w:tab w:pos="638" w:val="left" w:leader="none"/>
        </w:tabs>
        <w:spacing w:line="240" w:lineRule="auto" w:before="216" w:after="0"/>
        <w:ind w:left="638" w:right="0" w:hanging="478"/>
        <w:jc w:val="left"/>
        <w:rPr>
          <w:sz w:val="20"/>
        </w:rPr>
      </w:pPr>
      <w:r>
        <w:rPr>
          <w:sz w:val="20"/>
        </w:rPr>
        <w:t>Relationship</w:t>
      </w:r>
      <w:r>
        <w:rPr>
          <w:spacing w:val="-8"/>
          <w:sz w:val="20"/>
        </w:rPr>
        <w:t> </w:t>
      </w:r>
      <w:r>
        <w:rPr>
          <w:sz w:val="20"/>
        </w:rPr>
        <w:t>to</w:t>
      </w:r>
      <w:r>
        <w:rPr>
          <w:spacing w:val="-7"/>
          <w:sz w:val="20"/>
        </w:rPr>
        <w:t> </w:t>
      </w:r>
      <w:r>
        <w:rPr>
          <w:sz w:val="20"/>
        </w:rPr>
        <w:t>Obsolete</w:t>
      </w:r>
      <w:r>
        <w:rPr>
          <w:spacing w:val="-7"/>
          <w:sz w:val="20"/>
        </w:rPr>
        <w:t> </w:t>
      </w:r>
      <w:r>
        <w:rPr>
          <w:spacing w:val="-2"/>
          <w:sz w:val="20"/>
        </w:rPr>
        <w:t>Specifications</w:t>
      </w:r>
    </w:p>
    <w:p>
      <w:pPr>
        <w:pStyle w:val="BodyText"/>
        <w:spacing w:line="232" w:lineRule="auto" w:before="218"/>
        <w:ind w:right="319"/>
      </w:pPr>
      <w:r>
        <w:rPr/>
        <w:t>This technical specification, as defined in Section 1, obsoletes entirely</w:t>
      </w:r>
      <w:r>
        <w:rPr>
          <w:spacing w:val="-6"/>
        </w:rPr>
        <w:t> </w:t>
      </w:r>
      <w:r>
        <w:rPr/>
        <w:t>the</w:t>
      </w:r>
      <w:r>
        <w:rPr>
          <w:spacing w:val="-6"/>
        </w:rPr>
        <w:t> </w:t>
      </w:r>
      <w:r>
        <w:rPr/>
        <w:t>previously</w:t>
      </w:r>
      <w:r>
        <w:rPr>
          <w:spacing w:val="-6"/>
        </w:rPr>
        <w:t> </w:t>
      </w:r>
      <w:r>
        <w:rPr/>
        <w:t>defined</w:t>
      </w:r>
      <w:r>
        <w:rPr>
          <w:spacing w:val="-6"/>
        </w:rPr>
        <w:t> </w:t>
      </w:r>
      <w:r>
        <w:rPr/>
        <w:t>LDAP</w:t>
      </w:r>
      <w:r>
        <w:rPr>
          <w:spacing w:val="-6"/>
        </w:rPr>
        <w:t> </w:t>
      </w:r>
      <w:r>
        <w:rPr/>
        <w:t>technical</w:t>
      </w:r>
      <w:r>
        <w:rPr>
          <w:spacing w:val="-6"/>
        </w:rPr>
        <w:t> </w:t>
      </w:r>
      <w:r>
        <w:rPr/>
        <w:t>specification</w:t>
      </w:r>
      <w:r>
        <w:rPr>
          <w:spacing w:val="-6"/>
        </w:rPr>
        <w:t> </w:t>
      </w:r>
      <w:r>
        <w:rPr/>
        <w:t>defined in</w:t>
      </w:r>
      <w:r>
        <w:rPr>
          <w:spacing w:val="-4"/>
        </w:rPr>
        <w:t> </w:t>
      </w:r>
      <w:r>
        <w:rPr/>
        <w:t>RFC</w:t>
      </w:r>
      <w:r>
        <w:rPr>
          <w:spacing w:val="-4"/>
        </w:rPr>
        <w:t> </w:t>
      </w:r>
      <w:r>
        <w:rPr/>
        <w:t>3377</w:t>
      </w:r>
      <w:r>
        <w:rPr>
          <w:spacing w:val="-4"/>
        </w:rPr>
        <w:t> </w:t>
      </w:r>
      <w:r>
        <w:rPr/>
        <w:t>(and</w:t>
      </w:r>
      <w:r>
        <w:rPr>
          <w:spacing w:val="-4"/>
        </w:rPr>
        <w:t> </w:t>
      </w:r>
      <w:r>
        <w:rPr/>
        <w:t>consisting</w:t>
      </w:r>
      <w:r>
        <w:rPr>
          <w:spacing w:val="-4"/>
        </w:rPr>
        <w:t> </w:t>
      </w:r>
      <w:r>
        <w:rPr/>
        <w:t>of</w:t>
      </w:r>
      <w:r>
        <w:rPr>
          <w:spacing w:val="-4"/>
        </w:rPr>
        <w:t> </w:t>
      </w:r>
      <w:r>
        <w:rPr/>
        <w:t>RFCs</w:t>
      </w:r>
      <w:r>
        <w:rPr>
          <w:spacing w:val="-4"/>
        </w:rPr>
        <w:t> </w:t>
      </w:r>
      <w:r>
        <w:rPr/>
        <w:t>2251-2256,</w:t>
      </w:r>
      <w:r>
        <w:rPr>
          <w:spacing w:val="-4"/>
        </w:rPr>
        <w:t> </w:t>
      </w:r>
      <w:r>
        <w:rPr/>
        <w:t>2829,</w:t>
      </w:r>
      <w:r>
        <w:rPr>
          <w:spacing w:val="-4"/>
        </w:rPr>
        <w:t> </w:t>
      </w:r>
      <w:r>
        <w:rPr/>
        <w:t>2830,</w:t>
      </w:r>
      <w:r>
        <w:rPr>
          <w:spacing w:val="-4"/>
        </w:rPr>
        <w:t> </w:t>
      </w:r>
      <w:r>
        <w:rPr/>
        <w:t>3771,</w:t>
      </w:r>
      <w:r>
        <w:rPr>
          <w:spacing w:val="-4"/>
        </w:rPr>
        <w:t> </w:t>
      </w:r>
      <w:r>
        <w:rPr/>
        <w:t>and 3377 itself).</w:t>
      </w:r>
      <w:r>
        <w:rPr>
          <w:spacing w:val="80"/>
        </w:rPr>
        <w:t> </w:t>
      </w:r>
      <w:r>
        <w:rPr/>
        <w:t>The technical specification was significantly </w:t>
      </w:r>
      <w:r>
        <w:rPr>
          <w:spacing w:val="-2"/>
        </w:rPr>
        <w:t>reorganized.</w:t>
      </w:r>
    </w:p>
    <w:p>
      <w:pPr>
        <w:pStyle w:val="BodyText"/>
        <w:spacing w:after="0" w:line="232" w:lineRule="auto"/>
        <w:sectPr>
          <w:headerReference w:type="default" r:id="rId6"/>
          <w:footerReference w:type="default" r:id="rId7"/>
          <w:pgSz w:w="12240" w:h="15840"/>
          <w:pgMar w:header="793" w:footer="2967" w:top="1360" w:bottom="3160" w:left="1440" w:right="1800"/>
          <w:pgNumType w:start="2"/>
        </w:sectPr>
      </w:pPr>
    </w:p>
    <w:p>
      <w:pPr>
        <w:pStyle w:val="BodyText"/>
        <w:spacing w:line="232" w:lineRule="auto" w:before="95"/>
        <w:ind w:right="199"/>
      </w:pPr>
      <w:r>
        <w:rPr/>
        <w:t>This document replaces RFC 3377 as well as Section 3.3 of RFC 2251. [RFC4512] replaces portions of RFC 2251, RFC 2252, and RFC 2256. [RFC4511] replaces the majority RFC 2251, portions of RFC 2252, and all</w:t>
      </w:r>
      <w:r>
        <w:rPr>
          <w:spacing w:val="-4"/>
        </w:rPr>
        <w:t> </w:t>
      </w:r>
      <w:r>
        <w:rPr/>
        <w:t>of</w:t>
      </w:r>
      <w:r>
        <w:rPr>
          <w:spacing w:val="-4"/>
        </w:rPr>
        <w:t> </w:t>
      </w:r>
      <w:r>
        <w:rPr/>
        <w:t>RFC</w:t>
      </w:r>
      <w:r>
        <w:rPr>
          <w:spacing w:val="-4"/>
        </w:rPr>
        <w:t> </w:t>
      </w:r>
      <w:r>
        <w:rPr/>
        <w:t>3771.</w:t>
      </w:r>
      <w:r>
        <w:rPr>
          <w:spacing w:val="80"/>
        </w:rPr>
        <w:t> </w:t>
      </w:r>
      <w:r>
        <w:rPr/>
        <w:t>[RFC4513]</w:t>
      </w:r>
      <w:r>
        <w:rPr>
          <w:spacing w:val="-4"/>
        </w:rPr>
        <w:t> </w:t>
      </w:r>
      <w:r>
        <w:rPr/>
        <w:t>replaces</w:t>
      </w:r>
      <w:r>
        <w:rPr>
          <w:spacing w:val="-4"/>
        </w:rPr>
        <w:t> </w:t>
      </w:r>
      <w:r>
        <w:rPr/>
        <w:t>RFC</w:t>
      </w:r>
      <w:r>
        <w:rPr>
          <w:spacing w:val="-4"/>
        </w:rPr>
        <w:t> </w:t>
      </w:r>
      <w:r>
        <w:rPr/>
        <w:t>2829,</w:t>
      </w:r>
      <w:r>
        <w:rPr>
          <w:spacing w:val="-4"/>
        </w:rPr>
        <w:t> </w:t>
      </w:r>
      <w:r>
        <w:rPr/>
        <w:t>RFC</w:t>
      </w:r>
      <w:r>
        <w:rPr>
          <w:spacing w:val="-4"/>
        </w:rPr>
        <w:t> </w:t>
      </w:r>
      <w:r>
        <w:rPr/>
        <w:t>2830,</w:t>
      </w:r>
      <w:r>
        <w:rPr>
          <w:spacing w:val="-4"/>
        </w:rPr>
        <w:t> </w:t>
      </w:r>
      <w:r>
        <w:rPr/>
        <w:t>and</w:t>
      </w:r>
      <w:r>
        <w:rPr>
          <w:spacing w:val="-4"/>
        </w:rPr>
        <w:t> </w:t>
      </w:r>
      <w:r>
        <w:rPr/>
        <w:t>portions of RFC 2251.</w:t>
      </w:r>
      <w:r>
        <w:rPr>
          <w:spacing w:val="80"/>
          <w:w w:val="150"/>
        </w:rPr>
        <w:t> </w:t>
      </w:r>
      <w:r>
        <w:rPr/>
        <w:t>[RFC4517] replaces the majority of RFC 2252 and portions of RFC 2256.</w:t>
      </w:r>
      <w:r>
        <w:rPr>
          <w:spacing w:val="80"/>
        </w:rPr>
        <w:t> </w:t>
      </w:r>
      <w:r>
        <w:rPr/>
        <w:t>[RFC4519] replaces the majority of RFC 2256. [RFC4514]</w:t>
      </w:r>
      <w:r>
        <w:rPr>
          <w:spacing w:val="-5"/>
        </w:rPr>
        <w:t> </w:t>
      </w:r>
      <w:r>
        <w:rPr/>
        <w:t>replaces</w:t>
      </w:r>
      <w:r>
        <w:rPr>
          <w:spacing w:val="-5"/>
        </w:rPr>
        <w:t> </w:t>
      </w:r>
      <w:r>
        <w:rPr/>
        <w:t>RFC</w:t>
      </w:r>
      <w:r>
        <w:rPr>
          <w:spacing w:val="-5"/>
        </w:rPr>
        <w:t> </w:t>
      </w:r>
      <w:r>
        <w:rPr/>
        <w:t>2253.</w:t>
      </w:r>
      <w:r>
        <w:rPr>
          <w:spacing w:val="80"/>
        </w:rPr>
        <w:t> </w:t>
      </w:r>
      <w:r>
        <w:rPr/>
        <w:t>[RFC4515]</w:t>
      </w:r>
      <w:r>
        <w:rPr>
          <w:spacing w:val="-5"/>
        </w:rPr>
        <w:t> </w:t>
      </w:r>
      <w:r>
        <w:rPr/>
        <w:t>replaces</w:t>
      </w:r>
      <w:r>
        <w:rPr>
          <w:spacing w:val="-5"/>
        </w:rPr>
        <w:t> </w:t>
      </w:r>
      <w:r>
        <w:rPr/>
        <w:t>RFC</w:t>
      </w:r>
      <w:r>
        <w:rPr>
          <w:spacing w:val="-5"/>
        </w:rPr>
        <w:t> </w:t>
      </w:r>
      <w:r>
        <w:rPr/>
        <w:t>2254.</w:t>
      </w:r>
      <w:r>
        <w:rPr>
          <w:spacing w:val="80"/>
        </w:rPr>
        <w:t> </w:t>
      </w:r>
      <w:r>
        <w:rPr/>
        <w:t>[RFC4516]</w:t>
      </w:r>
    </w:p>
    <w:p>
      <w:pPr>
        <w:pStyle w:val="BodyText"/>
        <w:spacing w:line="223" w:lineRule="exact"/>
      </w:pPr>
      <w:r>
        <w:rPr/>
        <w:t>replaces</w:t>
      </w:r>
      <w:r>
        <w:rPr>
          <w:spacing w:val="-6"/>
        </w:rPr>
        <w:t> </w:t>
      </w:r>
      <w:r>
        <w:rPr/>
        <w:t>RFC</w:t>
      </w:r>
      <w:r>
        <w:rPr>
          <w:spacing w:val="-5"/>
        </w:rPr>
        <w:t> </w:t>
      </w:r>
      <w:r>
        <w:rPr>
          <w:spacing w:val="-2"/>
        </w:rPr>
        <w:t>2255.</w:t>
      </w:r>
    </w:p>
    <w:p>
      <w:pPr>
        <w:pStyle w:val="BodyText"/>
        <w:spacing w:line="232" w:lineRule="auto" w:before="218"/>
        <w:ind w:right="1342"/>
      </w:pPr>
      <w:r>
        <w:rPr/>
        <w:t>[RFC4518]</w:t>
      </w:r>
      <w:r>
        <w:rPr>
          <w:spacing w:val="-5"/>
        </w:rPr>
        <w:t> </w:t>
      </w:r>
      <w:r>
        <w:rPr/>
        <w:t>is</w:t>
      </w:r>
      <w:r>
        <w:rPr>
          <w:spacing w:val="-5"/>
        </w:rPr>
        <w:t> </w:t>
      </w:r>
      <w:r>
        <w:rPr/>
        <w:t>new</w:t>
      </w:r>
      <w:r>
        <w:rPr>
          <w:spacing w:val="-5"/>
        </w:rPr>
        <w:t> </w:t>
      </w:r>
      <w:r>
        <w:rPr/>
        <w:t>to</w:t>
      </w:r>
      <w:r>
        <w:rPr>
          <w:spacing w:val="-5"/>
        </w:rPr>
        <w:t> </w:t>
      </w:r>
      <w:r>
        <w:rPr/>
        <w:t>this</w:t>
      </w:r>
      <w:r>
        <w:rPr>
          <w:spacing w:val="-5"/>
        </w:rPr>
        <w:t> </w:t>
      </w:r>
      <w:r>
        <w:rPr/>
        <w:t>revision</w:t>
      </w:r>
      <w:r>
        <w:rPr>
          <w:spacing w:val="-5"/>
        </w:rPr>
        <w:t> </w:t>
      </w:r>
      <w:r>
        <w:rPr/>
        <w:t>of</w:t>
      </w:r>
      <w:r>
        <w:rPr>
          <w:spacing w:val="-5"/>
        </w:rPr>
        <w:t> </w:t>
      </w:r>
      <w:r>
        <w:rPr/>
        <w:t>the</w:t>
      </w:r>
      <w:r>
        <w:rPr>
          <w:spacing w:val="-5"/>
        </w:rPr>
        <w:t> </w:t>
      </w:r>
      <w:r>
        <w:rPr/>
        <w:t>LDAP</w:t>
      </w:r>
      <w:r>
        <w:rPr>
          <w:spacing w:val="-5"/>
        </w:rPr>
        <w:t> </w:t>
      </w:r>
      <w:r>
        <w:rPr/>
        <w:t>technical </w:t>
      </w:r>
      <w:r>
        <w:rPr>
          <w:spacing w:val="-2"/>
        </w:rPr>
        <w:t>specification.</w:t>
      </w:r>
    </w:p>
    <w:p>
      <w:pPr>
        <w:pStyle w:val="BodyText"/>
        <w:spacing w:line="232" w:lineRule="auto" w:before="221"/>
        <w:ind w:right="199"/>
      </w:pPr>
      <w:r>
        <w:rPr/>
        <w:t>Each document of this specification contains appendices summarizing changes</w:t>
      </w:r>
      <w:r>
        <w:rPr>
          <w:spacing w:val="-5"/>
        </w:rPr>
        <w:t> </w:t>
      </w:r>
      <w:r>
        <w:rPr/>
        <w:t>to</w:t>
      </w:r>
      <w:r>
        <w:rPr>
          <w:spacing w:val="-5"/>
        </w:rPr>
        <w:t> </w:t>
      </w:r>
      <w:r>
        <w:rPr/>
        <w:t>all</w:t>
      </w:r>
      <w:r>
        <w:rPr>
          <w:spacing w:val="-5"/>
        </w:rPr>
        <w:t> </w:t>
      </w:r>
      <w:r>
        <w:rPr/>
        <w:t>sections</w:t>
      </w:r>
      <w:r>
        <w:rPr>
          <w:spacing w:val="-5"/>
        </w:rPr>
        <w:t> </w:t>
      </w:r>
      <w:r>
        <w:rPr/>
        <w:t>of</w:t>
      </w:r>
      <w:r>
        <w:rPr>
          <w:spacing w:val="-5"/>
        </w:rPr>
        <w:t> </w:t>
      </w:r>
      <w:r>
        <w:rPr/>
        <w:t>the</w:t>
      </w:r>
      <w:r>
        <w:rPr>
          <w:spacing w:val="-5"/>
        </w:rPr>
        <w:t> </w:t>
      </w:r>
      <w:r>
        <w:rPr/>
        <w:t>specifications</w:t>
      </w:r>
      <w:r>
        <w:rPr>
          <w:spacing w:val="-5"/>
        </w:rPr>
        <w:t> </w:t>
      </w:r>
      <w:r>
        <w:rPr/>
        <w:t>they</w:t>
      </w:r>
      <w:r>
        <w:rPr>
          <w:spacing w:val="-5"/>
        </w:rPr>
        <w:t> </w:t>
      </w:r>
      <w:r>
        <w:rPr/>
        <w:t>replace.</w:t>
      </w:r>
      <w:r>
        <w:rPr>
          <w:spacing w:val="80"/>
        </w:rPr>
        <w:t> </w:t>
      </w:r>
      <w:r>
        <w:rPr/>
        <w:t>Appendix</w:t>
      </w:r>
    </w:p>
    <w:p>
      <w:pPr>
        <w:pStyle w:val="BodyText"/>
        <w:spacing w:line="232" w:lineRule="auto"/>
        <w:ind w:right="338"/>
      </w:pPr>
      <w:r>
        <w:rPr/>
        <w:t>A.1</w:t>
      </w:r>
      <w:r>
        <w:rPr>
          <w:spacing w:val="-4"/>
        </w:rPr>
        <w:t> </w:t>
      </w:r>
      <w:r>
        <w:rPr/>
        <w:t>of</w:t>
      </w:r>
      <w:r>
        <w:rPr>
          <w:spacing w:val="-4"/>
        </w:rPr>
        <w:t> </w:t>
      </w:r>
      <w:r>
        <w:rPr/>
        <w:t>this</w:t>
      </w:r>
      <w:r>
        <w:rPr>
          <w:spacing w:val="-4"/>
        </w:rPr>
        <w:t> </w:t>
      </w:r>
      <w:r>
        <w:rPr/>
        <w:t>document</w:t>
      </w:r>
      <w:r>
        <w:rPr>
          <w:spacing w:val="-4"/>
        </w:rPr>
        <w:t> </w:t>
      </w:r>
      <w:r>
        <w:rPr/>
        <w:t>details</w:t>
      </w:r>
      <w:r>
        <w:rPr>
          <w:spacing w:val="-4"/>
        </w:rPr>
        <w:t> </w:t>
      </w:r>
      <w:r>
        <w:rPr/>
        <w:t>changes</w:t>
      </w:r>
      <w:r>
        <w:rPr>
          <w:spacing w:val="-4"/>
        </w:rPr>
        <w:t> </w:t>
      </w:r>
      <w:r>
        <w:rPr/>
        <w:t>made</w:t>
      </w:r>
      <w:r>
        <w:rPr>
          <w:spacing w:val="-4"/>
        </w:rPr>
        <w:t> </w:t>
      </w:r>
      <w:r>
        <w:rPr/>
        <w:t>to</w:t>
      </w:r>
      <w:r>
        <w:rPr>
          <w:spacing w:val="-4"/>
        </w:rPr>
        <w:t> </w:t>
      </w:r>
      <w:r>
        <w:rPr/>
        <w:t>RFC</w:t>
      </w:r>
      <w:r>
        <w:rPr>
          <w:spacing w:val="-4"/>
        </w:rPr>
        <w:t> </w:t>
      </w:r>
      <w:r>
        <w:rPr/>
        <w:t>3377.</w:t>
      </w:r>
      <w:r>
        <w:rPr>
          <w:spacing w:val="80"/>
        </w:rPr>
        <w:t> </w:t>
      </w:r>
      <w:r>
        <w:rPr/>
        <w:t>Appendix</w:t>
      </w:r>
      <w:r>
        <w:rPr>
          <w:spacing w:val="-4"/>
        </w:rPr>
        <w:t> </w:t>
      </w:r>
      <w:r>
        <w:rPr/>
        <w:t>A.2 of this document details changes made to Section 3.3 of RFC 2251.</w:t>
      </w:r>
    </w:p>
    <w:p>
      <w:pPr>
        <w:pStyle w:val="BodyText"/>
        <w:spacing w:line="232" w:lineRule="auto" w:before="221"/>
        <w:ind w:right="199"/>
      </w:pPr>
      <w:r>
        <w:rPr/>
        <w:t>Additionally, portions of this technical specification update and/or replace a number of other documents not listed above.</w:t>
      </w:r>
      <w:r>
        <w:rPr>
          <w:spacing w:val="80"/>
        </w:rPr>
        <w:t> </w:t>
      </w:r>
      <w:r>
        <w:rPr/>
        <w:t>These relationships</w:t>
      </w:r>
      <w:r>
        <w:rPr>
          <w:spacing w:val="-6"/>
        </w:rPr>
        <w:t> </w:t>
      </w:r>
      <w:r>
        <w:rPr/>
        <w:t>are</w:t>
      </w:r>
      <w:r>
        <w:rPr>
          <w:spacing w:val="-6"/>
        </w:rPr>
        <w:t> </w:t>
      </w:r>
      <w:r>
        <w:rPr/>
        <w:t>discussed</w:t>
      </w:r>
      <w:r>
        <w:rPr>
          <w:spacing w:val="-6"/>
        </w:rPr>
        <w:t> </w:t>
      </w:r>
      <w:r>
        <w:rPr/>
        <w:t>in</w:t>
      </w:r>
      <w:r>
        <w:rPr>
          <w:spacing w:val="-6"/>
        </w:rPr>
        <w:t> </w:t>
      </w:r>
      <w:r>
        <w:rPr/>
        <w:t>the</w:t>
      </w:r>
      <w:r>
        <w:rPr>
          <w:spacing w:val="-6"/>
        </w:rPr>
        <w:t> </w:t>
      </w:r>
      <w:r>
        <w:rPr/>
        <w:t>documents</w:t>
      </w:r>
      <w:r>
        <w:rPr>
          <w:spacing w:val="-6"/>
        </w:rPr>
        <w:t> </w:t>
      </w:r>
      <w:r>
        <w:rPr/>
        <w:t>detailing</w:t>
      </w:r>
      <w:r>
        <w:rPr>
          <w:spacing w:val="-6"/>
        </w:rPr>
        <w:t> </w:t>
      </w:r>
      <w:r>
        <w:rPr/>
        <w:t>these</w:t>
      </w:r>
      <w:r>
        <w:rPr>
          <w:spacing w:val="-6"/>
        </w:rPr>
        <w:t> </w:t>
      </w:r>
      <w:r>
        <w:rPr/>
        <w:t>portions of this technical specification.</w:t>
      </w:r>
    </w:p>
    <w:p>
      <w:pPr>
        <w:pStyle w:val="ListParagraph"/>
        <w:numPr>
          <w:ilvl w:val="0"/>
          <w:numId w:val="1"/>
        </w:numPr>
        <w:tabs>
          <w:tab w:pos="638" w:val="left" w:leader="none"/>
        </w:tabs>
        <w:spacing w:line="240" w:lineRule="auto" w:before="215" w:after="0"/>
        <w:ind w:left="638" w:right="0" w:hanging="478"/>
        <w:jc w:val="left"/>
        <w:rPr>
          <w:sz w:val="20"/>
        </w:rPr>
      </w:pPr>
      <w:r>
        <w:rPr>
          <w:sz w:val="20"/>
        </w:rPr>
        <w:t>Security</w:t>
      </w:r>
      <w:r>
        <w:rPr>
          <w:spacing w:val="-8"/>
          <w:sz w:val="20"/>
        </w:rPr>
        <w:t> </w:t>
      </w:r>
      <w:r>
        <w:rPr>
          <w:spacing w:val="-2"/>
          <w:sz w:val="20"/>
        </w:rPr>
        <w:t>Considerations</w:t>
      </w:r>
    </w:p>
    <w:p>
      <w:pPr>
        <w:pStyle w:val="BodyText"/>
        <w:spacing w:line="232" w:lineRule="auto" w:before="219"/>
        <w:ind w:right="1342"/>
      </w:pPr>
      <w:r>
        <w:rPr/>
        <w:t>LDAP</w:t>
      </w:r>
      <w:r>
        <w:rPr>
          <w:spacing w:val="-6"/>
        </w:rPr>
        <w:t> </w:t>
      </w:r>
      <w:r>
        <w:rPr/>
        <w:t>security</w:t>
      </w:r>
      <w:r>
        <w:rPr>
          <w:spacing w:val="-6"/>
        </w:rPr>
        <w:t> </w:t>
      </w:r>
      <w:r>
        <w:rPr/>
        <w:t>considerations</w:t>
      </w:r>
      <w:r>
        <w:rPr>
          <w:spacing w:val="-6"/>
        </w:rPr>
        <w:t> </w:t>
      </w:r>
      <w:r>
        <w:rPr/>
        <w:t>are</w:t>
      </w:r>
      <w:r>
        <w:rPr>
          <w:spacing w:val="-6"/>
        </w:rPr>
        <w:t> </w:t>
      </w:r>
      <w:r>
        <w:rPr/>
        <w:t>discussed</w:t>
      </w:r>
      <w:r>
        <w:rPr>
          <w:spacing w:val="-6"/>
        </w:rPr>
        <w:t> </w:t>
      </w:r>
      <w:r>
        <w:rPr/>
        <w:t>in</w:t>
      </w:r>
      <w:r>
        <w:rPr>
          <w:spacing w:val="-6"/>
        </w:rPr>
        <w:t> </w:t>
      </w:r>
      <w:r>
        <w:rPr/>
        <w:t>each</w:t>
      </w:r>
      <w:r>
        <w:rPr>
          <w:spacing w:val="-6"/>
        </w:rPr>
        <w:t> </w:t>
      </w:r>
      <w:r>
        <w:rPr/>
        <w:t>document comprising the technical specification.</w:t>
      </w:r>
    </w:p>
    <w:p>
      <w:pPr>
        <w:pStyle w:val="ListParagraph"/>
        <w:numPr>
          <w:ilvl w:val="0"/>
          <w:numId w:val="1"/>
        </w:numPr>
        <w:tabs>
          <w:tab w:pos="638" w:val="left" w:leader="none"/>
        </w:tabs>
        <w:spacing w:line="240" w:lineRule="auto" w:before="215" w:after="0"/>
        <w:ind w:left="638" w:right="0" w:hanging="478"/>
        <w:jc w:val="left"/>
        <w:rPr>
          <w:sz w:val="20"/>
        </w:rPr>
      </w:pPr>
      <w:r>
        <w:rPr>
          <w:spacing w:val="-2"/>
          <w:sz w:val="20"/>
        </w:rPr>
        <w:t>Acknowledgements</w:t>
      </w:r>
    </w:p>
    <w:p>
      <w:pPr>
        <w:pStyle w:val="BodyText"/>
        <w:spacing w:line="232" w:lineRule="auto" w:before="219"/>
        <w:ind w:right="338"/>
      </w:pPr>
      <w:r>
        <w:rPr/>
        <w:t>This document is based largely on RFC 3377 by J. Hodges and R. Morgan,</w:t>
      </w:r>
      <w:r>
        <w:rPr>
          <w:spacing w:val="-4"/>
        </w:rPr>
        <w:t> </w:t>
      </w:r>
      <w:r>
        <w:rPr/>
        <w:t>a</w:t>
      </w:r>
      <w:r>
        <w:rPr>
          <w:spacing w:val="-4"/>
        </w:rPr>
        <w:t> </w:t>
      </w:r>
      <w:r>
        <w:rPr/>
        <w:t>product</w:t>
      </w:r>
      <w:r>
        <w:rPr>
          <w:spacing w:val="-4"/>
        </w:rPr>
        <w:t> </w:t>
      </w:r>
      <w:r>
        <w:rPr/>
        <w:t>of</w:t>
      </w:r>
      <w:r>
        <w:rPr>
          <w:spacing w:val="-4"/>
        </w:rPr>
        <w:t> </w:t>
      </w:r>
      <w:r>
        <w:rPr/>
        <w:t>the</w:t>
      </w:r>
      <w:r>
        <w:rPr>
          <w:spacing w:val="-4"/>
        </w:rPr>
        <w:t> </w:t>
      </w:r>
      <w:r>
        <w:rPr/>
        <w:t>LDAPBIS</w:t>
      </w:r>
      <w:r>
        <w:rPr>
          <w:spacing w:val="-4"/>
        </w:rPr>
        <w:t> </w:t>
      </w:r>
      <w:r>
        <w:rPr/>
        <w:t>and</w:t>
      </w:r>
      <w:r>
        <w:rPr>
          <w:spacing w:val="-4"/>
        </w:rPr>
        <w:t> </w:t>
      </w:r>
      <w:r>
        <w:rPr/>
        <w:t>LDAPEXT</w:t>
      </w:r>
      <w:r>
        <w:rPr>
          <w:spacing w:val="-4"/>
        </w:rPr>
        <w:t> </w:t>
      </w:r>
      <w:r>
        <w:rPr/>
        <w:t>Working</w:t>
      </w:r>
      <w:r>
        <w:rPr>
          <w:spacing w:val="-4"/>
        </w:rPr>
        <w:t> </w:t>
      </w:r>
      <w:r>
        <w:rPr/>
        <w:t>Groups.</w:t>
      </w:r>
      <w:r>
        <w:rPr>
          <w:spacing w:val="80"/>
        </w:rPr>
        <w:t> </w:t>
      </w:r>
      <w:r>
        <w:rPr/>
        <w:t>The document also borrows from RFC 2251 by M. Wahl, T. Howes, and S. Kille, a product of the ASID Working Group.</w:t>
      </w:r>
    </w:p>
    <w:p>
      <w:pPr>
        <w:pStyle w:val="BodyText"/>
        <w:spacing w:before="216"/>
      </w:pPr>
      <w:r>
        <w:rPr/>
        <w:t>This</w:t>
      </w:r>
      <w:r>
        <w:rPr>
          <w:spacing w:val="-7"/>
        </w:rPr>
        <w:t> </w:t>
      </w:r>
      <w:r>
        <w:rPr/>
        <w:t>document</w:t>
      </w:r>
      <w:r>
        <w:rPr>
          <w:spacing w:val="-4"/>
        </w:rPr>
        <w:t> </w:t>
      </w:r>
      <w:r>
        <w:rPr/>
        <w:t>is</w:t>
      </w:r>
      <w:r>
        <w:rPr>
          <w:spacing w:val="-5"/>
        </w:rPr>
        <w:t> </w:t>
      </w:r>
      <w:r>
        <w:rPr/>
        <w:t>a</w:t>
      </w:r>
      <w:r>
        <w:rPr>
          <w:spacing w:val="-4"/>
        </w:rPr>
        <w:t> </w:t>
      </w:r>
      <w:r>
        <w:rPr/>
        <w:t>product</w:t>
      </w:r>
      <w:r>
        <w:rPr>
          <w:spacing w:val="-5"/>
        </w:rPr>
        <w:t> </w:t>
      </w:r>
      <w:r>
        <w:rPr/>
        <w:t>of</w:t>
      </w:r>
      <w:r>
        <w:rPr>
          <w:spacing w:val="-4"/>
        </w:rPr>
        <w:t> </w:t>
      </w:r>
      <w:r>
        <w:rPr/>
        <w:t>the</w:t>
      </w:r>
      <w:r>
        <w:rPr>
          <w:spacing w:val="-5"/>
        </w:rPr>
        <w:t> </w:t>
      </w:r>
      <w:r>
        <w:rPr/>
        <w:t>IETF</w:t>
      </w:r>
      <w:r>
        <w:rPr>
          <w:spacing w:val="-4"/>
        </w:rPr>
        <w:t> </w:t>
      </w:r>
      <w:r>
        <w:rPr/>
        <w:t>LDAPBIS</w:t>
      </w:r>
      <w:r>
        <w:rPr>
          <w:spacing w:val="-5"/>
        </w:rPr>
        <w:t> </w:t>
      </w:r>
      <w:r>
        <w:rPr/>
        <w:t>Working</w:t>
      </w:r>
      <w:r>
        <w:rPr>
          <w:spacing w:val="-4"/>
        </w:rPr>
        <w:t> </w:t>
      </w:r>
      <w:r>
        <w:rPr>
          <w:spacing w:val="-2"/>
        </w:rPr>
        <w:t>Group.</w:t>
      </w:r>
    </w:p>
    <w:p>
      <w:pPr>
        <w:pStyle w:val="BodyText"/>
        <w:spacing w:after="0"/>
        <w:sectPr>
          <w:pgSz w:w="12240" w:h="15840"/>
          <w:pgMar w:header="793" w:footer="2967" w:top="1360" w:bottom="3160" w:left="1440" w:right="1800"/>
        </w:sectPr>
      </w:pPr>
    </w:p>
    <w:p>
      <w:pPr>
        <w:pStyle w:val="ListParagraph"/>
        <w:numPr>
          <w:ilvl w:val="0"/>
          <w:numId w:val="1"/>
        </w:numPr>
        <w:tabs>
          <w:tab w:pos="638" w:val="left" w:leader="none"/>
        </w:tabs>
        <w:spacing w:line="240" w:lineRule="auto" w:before="90" w:after="0"/>
        <w:ind w:left="638" w:right="0" w:hanging="478"/>
        <w:jc w:val="left"/>
        <w:rPr>
          <w:sz w:val="20"/>
        </w:rPr>
      </w:pPr>
      <w:r>
        <w:rPr>
          <w:sz w:val="20"/>
        </w:rPr>
        <w:t>Normative</w:t>
      </w:r>
      <w:r>
        <w:rPr>
          <w:spacing w:val="-9"/>
          <w:sz w:val="20"/>
        </w:rPr>
        <w:t> </w:t>
      </w:r>
      <w:r>
        <w:rPr>
          <w:spacing w:val="-2"/>
          <w:sz w:val="20"/>
        </w:rPr>
        <w:t>References</w:t>
      </w:r>
    </w:p>
    <w:p>
      <w:pPr>
        <w:pStyle w:val="BodyText"/>
        <w:tabs>
          <w:tab w:pos="2199" w:val="left" w:leader="none"/>
        </w:tabs>
        <w:spacing w:line="232" w:lineRule="auto" w:before="218"/>
        <w:ind w:left="2200" w:right="679" w:hanging="1680"/>
      </w:pPr>
      <w:r>
        <w:rPr>
          <w:spacing w:val="-2"/>
        </w:rPr>
        <w:t>[RFC2119]</w:t>
      </w:r>
      <w:r>
        <w:rPr/>
        <w:tab/>
        <w:t>Bradner,</w:t>
      </w:r>
      <w:r>
        <w:rPr>
          <w:spacing w:val="-5"/>
        </w:rPr>
        <w:t> </w:t>
      </w:r>
      <w:r>
        <w:rPr/>
        <w:t>S.,</w:t>
      </w:r>
      <w:r>
        <w:rPr>
          <w:spacing w:val="-5"/>
        </w:rPr>
        <w:t> </w:t>
      </w:r>
      <w:r>
        <w:rPr/>
        <w:t>"Key</w:t>
      </w:r>
      <w:r>
        <w:rPr>
          <w:spacing w:val="-5"/>
        </w:rPr>
        <w:t> </w:t>
      </w:r>
      <w:r>
        <w:rPr/>
        <w:t>words</w:t>
      </w:r>
      <w:r>
        <w:rPr>
          <w:spacing w:val="-5"/>
        </w:rPr>
        <w:t> </w:t>
      </w:r>
      <w:r>
        <w:rPr/>
        <w:t>for</w:t>
      </w:r>
      <w:r>
        <w:rPr>
          <w:spacing w:val="-5"/>
        </w:rPr>
        <w:t> </w:t>
      </w:r>
      <w:r>
        <w:rPr/>
        <w:t>use</w:t>
      </w:r>
      <w:r>
        <w:rPr>
          <w:spacing w:val="-5"/>
        </w:rPr>
        <w:t> </w:t>
      </w:r>
      <w:r>
        <w:rPr/>
        <w:t>in</w:t>
      </w:r>
      <w:r>
        <w:rPr>
          <w:spacing w:val="-5"/>
        </w:rPr>
        <w:t> </w:t>
      </w:r>
      <w:r>
        <w:rPr/>
        <w:t>RFCs</w:t>
      </w:r>
      <w:r>
        <w:rPr>
          <w:spacing w:val="-5"/>
        </w:rPr>
        <w:t> </w:t>
      </w:r>
      <w:r>
        <w:rPr/>
        <w:t>to</w:t>
      </w:r>
      <w:r>
        <w:rPr>
          <w:spacing w:val="-5"/>
        </w:rPr>
        <w:t> </w:t>
      </w:r>
      <w:r>
        <w:rPr/>
        <w:t>Indicate Requirement Levels", BCP 14, RFC 2119, March 1997.</w:t>
      </w:r>
    </w:p>
    <w:p>
      <w:pPr>
        <w:pStyle w:val="BodyText"/>
        <w:tabs>
          <w:tab w:pos="2199" w:val="left" w:leader="none"/>
        </w:tabs>
        <w:spacing w:line="232" w:lineRule="auto" w:before="221"/>
        <w:ind w:left="2200" w:right="559" w:hanging="1680"/>
      </w:pPr>
      <w:r>
        <w:rPr>
          <w:spacing w:val="-2"/>
        </w:rPr>
        <w:t>[RFC4511]</w:t>
      </w:r>
      <w:r>
        <w:rPr/>
        <w:tab/>
        <w:t>Sermersheim, J., Ed., "Lightweight Directory Access Protocol</w:t>
      </w:r>
      <w:r>
        <w:rPr>
          <w:spacing w:val="-8"/>
        </w:rPr>
        <w:t> </w:t>
      </w:r>
      <w:r>
        <w:rPr/>
        <w:t>(LDAP):</w:t>
      </w:r>
      <w:r>
        <w:rPr>
          <w:spacing w:val="-6"/>
        </w:rPr>
        <w:t> </w:t>
      </w:r>
      <w:r>
        <w:rPr/>
        <w:t>The</w:t>
      </w:r>
      <w:r>
        <w:rPr>
          <w:spacing w:val="-6"/>
        </w:rPr>
        <w:t> </w:t>
      </w:r>
      <w:r>
        <w:rPr/>
        <w:t>Protocol",</w:t>
      </w:r>
      <w:r>
        <w:rPr>
          <w:spacing w:val="-5"/>
        </w:rPr>
        <w:t> </w:t>
      </w:r>
      <w:r>
        <w:rPr/>
        <w:t>RFC</w:t>
      </w:r>
      <w:r>
        <w:rPr>
          <w:spacing w:val="-6"/>
        </w:rPr>
        <w:t> </w:t>
      </w:r>
      <w:r>
        <w:rPr/>
        <w:t>4511,</w:t>
      </w:r>
      <w:r>
        <w:rPr>
          <w:spacing w:val="-6"/>
        </w:rPr>
        <w:t> </w:t>
      </w:r>
      <w:r>
        <w:rPr/>
        <w:t>June</w:t>
      </w:r>
      <w:r>
        <w:rPr>
          <w:spacing w:val="-5"/>
        </w:rPr>
        <w:t> </w:t>
      </w:r>
      <w:r>
        <w:rPr>
          <w:spacing w:val="-2"/>
        </w:rPr>
        <w:t>2006.</w:t>
      </w:r>
    </w:p>
    <w:p>
      <w:pPr>
        <w:pStyle w:val="BodyText"/>
        <w:tabs>
          <w:tab w:pos="2199" w:val="left" w:leader="none"/>
        </w:tabs>
        <w:spacing w:line="232" w:lineRule="auto" w:before="220"/>
        <w:ind w:left="2200" w:right="439" w:hanging="1680"/>
      </w:pPr>
      <w:r>
        <w:rPr>
          <w:spacing w:val="-2"/>
        </w:rPr>
        <w:t>[RFC4512]</w:t>
      </w:r>
      <w:r>
        <w:rPr/>
        <w:tab/>
        <w:t>Zeilenga, K., "Lightweight Directory Access Protocol (LDAP):</w:t>
      </w:r>
      <w:r>
        <w:rPr>
          <w:spacing w:val="-7"/>
        </w:rPr>
        <w:t> </w:t>
      </w:r>
      <w:r>
        <w:rPr/>
        <w:t>Directory</w:t>
      </w:r>
      <w:r>
        <w:rPr>
          <w:spacing w:val="-7"/>
        </w:rPr>
        <w:t> </w:t>
      </w:r>
      <w:r>
        <w:rPr/>
        <w:t>Information</w:t>
      </w:r>
      <w:r>
        <w:rPr>
          <w:spacing w:val="-7"/>
        </w:rPr>
        <w:t> </w:t>
      </w:r>
      <w:r>
        <w:rPr/>
        <w:t>Models",</w:t>
      </w:r>
      <w:r>
        <w:rPr>
          <w:spacing w:val="-7"/>
        </w:rPr>
        <w:t> </w:t>
      </w:r>
      <w:r>
        <w:rPr/>
        <w:t>RFC</w:t>
      </w:r>
      <w:r>
        <w:rPr>
          <w:spacing w:val="-7"/>
        </w:rPr>
        <w:t> </w:t>
      </w:r>
      <w:r>
        <w:rPr/>
        <w:t>4512,</w:t>
      </w:r>
      <w:r>
        <w:rPr>
          <w:spacing w:val="-7"/>
        </w:rPr>
        <w:t> </w:t>
      </w:r>
      <w:r>
        <w:rPr/>
        <w:t>June </w:t>
      </w:r>
      <w:r>
        <w:rPr>
          <w:spacing w:val="-2"/>
        </w:rPr>
        <w:t>2006.</w:t>
      </w:r>
    </w:p>
    <w:p>
      <w:pPr>
        <w:pStyle w:val="BodyText"/>
        <w:tabs>
          <w:tab w:pos="2199" w:val="left" w:leader="none"/>
        </w:tabs>
        <w:spacing w:line="232" w:lineRule="auto" w:before="221"/>
        <w:ind w:left="2200" w:right="559" w:hanging="1680"/>
      </w:pPr>
      <w:r>
        <w:rPr>
          <w:spacing w:val="-2"/>
        </w:rPr>
        <w:t>[RFC4513]</w:t>
      </w:r>
      <w:r>
        <w:rPr/>
        <w:tab/>
        <w:t>Harrison, R., Ed., "Lightweight Directory Access Protocol</w:t>
      </w:r>
      <w:r>
        <w:rPr>
          <w:spacing w:val="-9"/>
        </w:rPr>
        <w:t> </w:t>
      </w:r>
      <w:r>
        <w:rPr/>
        <w:t>(LDAP):</w:t>
      </w:r>
      <w:r>
        <w:rPr>
          <w:spacing w:val="-9"/>
        </w:rPr>
        <w:t> </w:t>
      </w:r>
      <w:r>
        <w:rPr/>
        <w:t>Authentication</w:t>
      </w:r>
      <w:r>
        <w:rPr>
          <w:spacing w:val="-9"/>
        </w:rPr>
        <w:t> </w:t>
      </w:r>
      <w:r>
        <w:rPr/>
        <w:t>Methods</w:t>
      </w:r>
      <w:r>
        <w:rPr>
          <w:spacing w:val="-9"/>
        </w:rPr>
        <w:t> </w:t>
      </w:r>
      <w:r>
        <w:rPr/>
        <w:t>and</w:t>
      </w:r>
      <w:r>
        <w:rPr>
          <w:spacing w:val="-9"/>
        </w:rPr>
        <w:t> </w:t>
      </w:r>
      <w:r>
        <w:rPr/>
        <w:t>Security Mechanisms", RFC 4513, June 2006.</w:t>
      </w:r>
    </w:p>
    <w:p>
      <w:pPr>
        <w:pStyle w:val="BodyText"/>
        <w:tabs>
          <w:tab w:pos="2199" w:val="left" w:leader="none"/>
        </w:tabs>
        <w:spacing w:line="232" w:lineRule="auto" w:before="220"/>
        <w:ind w:left="2200" w:right="199" w:hanging="1680"/>
      </w:pPr>
      <w:r>
        <w:rPr>
          <w:spacing w:val="-2"/>
        </w:rPr>
        <w:t>[RFC4514]</w:t>
      </w:r>
      <w:r>
        <w:rPr/>
        <w:tab/>
        <w:t>Zeilenga, K., Ed., "Lightweight Directory Access Protocol</w:t>
      </w:r>
      <w:r>
        <w:rPr>
          <w:spacing w:val="-9"/>
        </w:rPr>
        <w:t> </w:t>
      </w:r>
      <w:r>
        <w:rPr/>
        <w:t>(LDAP):</w:t>
      </w:r>
      <w:r>
        <w:rPr>
          <w:spacing w:val="-9"/>
        </w:rPr>
        <w:t> </w:t>
      </w:r>
      <w:r>
        <w:rPr/>
        <w:t>String</w:t>
      </w:r>
      <w:r>
        <w:rPr>
          <w:spacing w:val="-9"/>
        </w:rPr>
        <w:t> </w:t>
      </w:r>
      <w:r>
        <w:rPr/>
        <w:t>Representation</w:t>
      </w:r>
      <w:r>
        <w:rPr>
          <w:spacing w:val="-9"/>
        </w:rPr>
        <w:t> </w:t>
      </w:r>
      <w:r>
        <w:rPr/>
        <w:t>of</w:t>
      </w:r>
      <w:r>
        <w:rPr>
          <w:spacing w:val="-9"/>
        </w:rPr>
        <w:t> </w:t>
      </w:r>
      <w:r>
        <w:rPr/>
        <w:t>Distinguished Names", RFC 4514, June 2006.</w:t>
      </w:r>
    </w:p>
    <w:p>
      <w:pPr>
        <w:pStyle w:val="BodyText"/>
        <w:tabs>
          <w:tab w:pos="2199" w:val="left" w:leader="none"/>
        </w:tabs>
        <w:spacing w:line="232" w:lineRule="auto" w:before="221"/>
        <w:ind w:left="2200" w:right="199" w:hanging="1680"/>
      </w:pPr>
      <w:r>
        <w:rPr>
          <w:spacing w:val="-2"/>
        </w:rPr>
        <w:t>[RFC4515]</w:t>
      </w:r>
      <w:r>
        <w:rPr/>
        <w:tab/>
        <w:t>Smith, M., Ed. and T. Howes, "Lightweight Directory Access</w:t>
      </w:r>
      <w:r>
        <w:rPr>
          <w:spacing w:val="-7"/>
        </w:rPr>
        <w:t> </w:t>
      </w:r>
      <w:r>
        <w:rPr/>
        <w:t>Protocol</w:t>
      </w:r>
      <w:r>
        <w:rPr>
          <w:spacing w:val="-7"/>
        </w:rPr>
        <w:t> </w:t>
      </w:r>
      <w:r>
        <w:rPr/>
        <w:t>(LDAP):</w:t>
      </w:r>
      <w:r>
        <w:rPr>
          <w:spacing w:val="-7"/>
        </w:rPr>
        <w:t> </w:t>
      </w:r>
      <w:r>
        <w:rPr/>
        <w:t>String</w:t>
      </w:r>
      <w:r>
        <w:rPr>
          <w:spacing w:val="-7"/>
        </w:rPr>
        <w:t> </w:t>
      </w:r>
      <w:r>
        <w:rPr/>
        <w:t>Representation</w:t>
      </w:r>
      <w:r>
        <w:rPr>
          <w:spacing w:val="-7"/>
        </w:rPr>
        <w:t> </w:t>
      </w:r>
      <w:r>
        <w:rPr/>
        <w:t>of</w:t>
      </w:r>
      <w:r>
        <w:rPr>
          <w:spacing w:val="-7"/>
        </w:rPr>
        <w:t> </w:t>
      </w:r>
      <w:r>
        <w:rPr/>
        <w:t>Search Filters", RFC 4515, June 2006.</w:t>
      </w:r>
    </w:p>
    <w:p>
      <w:pPr>
        <w:pStyle w:val="BodyText"/>
        <w:tabs>
          <w:tab w:pos="2199" w:val="left" w:leader="none"/>
        </w:tabs>
        <w:spacing w:line="232" w:lineRule="auto" w:before="221"/>
        <w:ind w:left="2200" w:right="319" w:hanging="1680"/>
      </w:pPr>
      <w:r>
        <w:rPr>
          <w:spacing w:val="-2"/>
        </w:rPr>
        <w:t>[RFC4516]</w:t>
      </w:r>
      <w:r>
        <w:rPr/>
        <w:tab/>
        <w:t>Smith, M., Ed. and T. Howes, "Lightweight Directory Access</w:t>
      </w:r>
      <w:r>
        <w:rPr>
          <w:spacing w:val="-7"/>
        </w:rPr>
        <w:t> </w:t>
      </w:r>
      <w:r>
        <w:rPr/>
        <w:t>Protocol</w:t>
      </w:r>
      <w:r>
        <w:rPr>
          <w:spacing w:val="-7"/>
        </w:rPr>
        <w:t> </w:t>
      </w:r>
      <w:r>
        <w:rPr/>
        <w:t>(LDAP):</w:t>
      </w:r>
      <w:r>
        <w:rPr>
          <w:spacing w:val="-7"/>
        </w:rPr>
        <w:t> </w:t>
      </w:r>
      <w:r>
        <w:rPr/>
        <w:t>Uniform</w:t>
      </w:r>
      <w:r>
        <w:rPr>
          <w:spacing w:val="-7"/>
        </w:rPr>
        <w:t> </w:t>
      </w:r>
      <w:r>
        <w:rPr/>
        <w:t>Resource</w:t>
      </w:r>
      <w:r>
        <w:rPr>
          <w:spacing w:val="-7"/>
        </w:rPr>
        <w:t> </w:t>
      </w:r>
      <w:r>
        <w:rPr/>
        <w:t>Locator",</w:t>
      </w:r>
      <w:r>
        <w:rPr>
          <w:spacing w:val="-7"/>
        </w:rPr>
        <w:t> </w:t>
      </w:r>
      <w:r>
        <w:rPr/>
        <w:t>RFC 4516, June 2006.</w:t>
      </w:r>
    </w:p>
    <w:p>
      <w:pPr>
        <w:pStyle w:val="BodyText"/>
        <w:tabs>
          <w:tab w:pos="2199" w:val="left" w:leader="none"/>
        </w:tabs>
        <w:spacing w:line="232" w:lineRule="auto" w:before="221"/>
        <w:ind w:left="2200" w:right="439" w:hanging="1680"/>
      </w:pPr>
      <w:r>
        <w:rPr>
          <w:spacing w:val="-2"/>
        </w:rPr>
        <w:t>[RFC4517]</w:t>
      </w:r>
      <w:r>
        <w:rPr/>
        <w:tab/>
        <w:t>Legg,</w:t>
      </w:r>
      <w:r>
        <w:rPr>
          <w:spacing w:val="-7"/>
        </w:rPr>
        <w:t> </w:t>
      </w:r>
      <w:r>
        <w:rPr/>
        <w:t>S.,</w:t>
      </w:r>
      <w:r>
        <w:rPr>
          <w:spacing w:val="-7"/>
        </w:rPr>
        <w:t> </w:t>
      </w:r>
      <w:r>
        <w:rPr/>
        <w:t>Ed.,</w:t>
      </w:r>
      <w:r>
        <w:rPr>
          <w:spacing w:val="-7"/>
        </w:rPr>
        <w:t> </w:t>
      </w:r>
      <w:r>
        <w:rPr/>
        <w:t>"Lightweight</w:t>
      </w:r>
      <w:r>
        <w:rPr>
          <w:spacing w:val="-7"/>
        </w:rPr>
        <w:t> </w:t>
      </w:r>
      <w:r>
        <w:rPr/>
        <w:t>Directory</w:t>
      </w:r>
      <w:r>
        <w:rPr>
          <w:spacing w:val="-7"/>
        </w:rPr>
        <w:t> </w:t>
      </w:r>
      <w:r>
        <w:rPr/>
        <w:t>Access</w:t>
      </w:r>
      <w:r>
        <w:rPr>
          <w:spacing w:val="-7"/>
        </w:rPr>
        <w:t> </w:t>
      </w:r>
      <w:r>
        <w:rPr/>
        <w:t>Protocol (LDAP): Syntaxes and Matching Rules", RFC 4517, June </w:t>
      </w:r>
      <w:r>
        <w:rPr>
          <w:spacing w:val="-2"/>
        </w:rPr>
        <w:t>2006.</w:t>
      </w:r>
    </w:p>
    <w:p>
      <w:pPr>
        <w:pStyle w:val="BodyText"/>
        <w:tabs>
          <w:tab w:pos="2199" w:val="left" w:leader="none"/>
        </w:tabs>
        <w:spacing w:line="232" w:lineRule="auto" w:before="220"/>
        <w:ind w:left="2200" w:right="559" w:hanging="1680"/>
      </w:pPr>
      <w:r>
        <w:rPr>
          <w:spacing w:val="-2"/>
        </w:rPr>
        <w:t>[RFC4518]</w:t>
      </w:r>
      <w:r>
        <w:rPr/>
        <w:tab/>
        <w:t>Zeilenga,</w:t>
      </w:r>
      <w:r>
        <w:rPr>
          <w:spacing w:val="-8"/>
        </w:rPr>
        <w:t> </w:t>
      </w:r>
      <w:r>
        <w:rPr/>
        <w:t>K.,</w:t>
      </w:r>
      <w:r>
        <w:rPr>
          <w:spacing w:val="-8"/>
        </w:rPr>
        <w:t> </w:t>
      </w:r>
      <w:r>
        <w:rPr/>
        <w:t>"Lightweight</w:t>
      </w:r>
      <w:r>
        <w:rPr>
          <w:spacing w:val="-8"/>
        </w:rPr>
        <w:t> </w:t>
      </w:r>
      <w:r>
        <w:rPr/>
        <w:t>Directory</w:t>
      </w:r>
      <w:r>
        <w:rPr>
          <w:spacing w:val="-8"/>
        </w:rPr>
        <w:t> </w:t>
      </w:r>
      <w:r>
        <w:rPr/>
        <w:t>Access</w:t>
      </w:r>
      <w:r>
        <w:rPr>
          <w:spacing w:val="-8"/>
        </w:rPr>
        <w:t> </w:t>
      </w:r>
      <w:r>
        <w:rPr/>
        <w:t>Protocol (LDAP): Internationalized String Preparation", RFC 4518, June 2006.</w:t>
      </w:r>
    </w:p>
    <w:p>
      <w:pPr>
        <w:pStyle w:val="BodyText"/>
        <w:tabs>
          <w:tab w:pos="2199" w:val="left" w:leader="none"/>
        </w:tabs>
        <w:spacing w:line="232" w:lineRule="auto" w:before="221"/>
        <w:ind w:left="2200" w:right="679" w:hanging="1680"/>
      </w:pPr>
      <w:r>
        <w:rPr>
          <w:spacing w:val="-2"/>
        </w:rPr>
        <w:t>[RFC4519]</w:t>
      </w:r>
      <w:r>
        <w:rPr/>
        <w:tab/>
        <w:t>Sciberras, A., Ed., "Lightweight Directory Access Protocol</w:t>
      </w:r>
      <w:r>
        <w:rPr>
          <w:spacing w:val="-7"/>
        </w:rPr>
        <w:t> </w:t>
      </w:r>
      <w:r>
        <w:rPr/>
        <w:t>(LDAP):</w:t>
      </w:r>
      <w:r>
        <w:rPr>
          <w:spacing w:val="-7"/>
        </w:rPr>
        <w:t> </w:t>
      </w:r>
      <w:r>
        <w:rPr/>
        <w:t>Schema</w:t>
      </w:r>
      <w:r>
        <w:rPr>
          <w:spacing w:val="-7"/>
        </w:rPr>
        <w:t> </w:t>
      </w:r>
      <w:r>
        <w:rPr/>
        <w:t>for</w:t>
      </w:r>
      <w:r>
        <w:rPr>
          <w:spacing w:val="-7"/>
        </w:rPr>
        <w:t> </w:t>
      </w:r>
      <w:r>
        <w:rPr/>
        <w:t>User</w:t>
      </w:r>
      <w:r>
        <w:rPr>
          <w:spacing w:val="-7"/>
        </w:rPr>
        <w:t> </w:t>
      </w:r>
      <w:r>
        <w:rPr/>
        <w:t>Applications",</w:t>
      </w:r>
      <w:r>
        <w:rPr>
          <w:spacing w:val="-7"/>
        </w:rPr>
        <w:t> </w:t>
      </w:r>
      <w:r>
        <w:rPr/>
        <w:t>RFC 4519, June 2006.</w:t>
      </w:r>
    </w:p>
    <w:p>
      <w:pPr>
        <w:pStyle w:val="BodyText"/>
        <w:tabs>
          <w:tab w:pos="2199" w:val="left" w:leader="none"/>
        </w:tabs>
        <w:spacing w:line="232" w:lineRule="auto" w:before="221"/>
        <w:ind w:left="2200" w:right="439" w:hanging="1680"/>
      </w:pPr>
      <w:r>
        <w:rPr>
          <w:spacing w:val="-2"/>
        </w:rPr>
        <w:t>[RFC4520]</w:t>
      </w:r>
      <w:r>
        <w:rPr/>
        <w:tab/>
        <w:t>Zeilenga, K., "Internet Assigned Numbers Authority (IANA) Considerations for the Lightweight Directory Access</w:t>
      </w:r>
      <w:r>
        <w:rPr>
          <w:spacing w:val="-6"/>
        </w:rPr>
        <w:t> </w:t>
      </w:r>
      <w:r>
        <w:rPr/>
        <w:t>Protocol</w:t>
      </w:r>
      <w:r>
        <w:rPr>
          <w:spacing w:val="-6"/>
        </w:rPr>
        <w:t> </w:t>
      </w:r>
      <w:r>
        <w:rPr/>
        <w:t>(LDAP)",</w:t>
      </w:r>
      <w:r>
        <w:rPr>
          <w:spacing w:val="-6"/>
        </w:rPr>
        <w:t> </w:t>
      </w:r>
      <w:r>
        <w:rPr/>
        <w:t>BCP</w:t>
      </w:r>
      <w:r>
        <w:rPr>
          <w:spacing w:val="-6"/>
        </w:rPr>
        <w:t> </w:t>
      </w:r>
      <w:r>
        <w:rPr/>
        <w:t>64,</w:t>
      </w:r>
      <w:r>
        <w:rPr>
          <w:spacing w:val="-6"/>
        </w:rPr>
        <w:t> </w:t>
      </w:r>
      <w:r>
        <w:rPr/>
        <w:t>RFC</w:t>
      </w:r>
      <w:r>
        <w:rPr>
          <w:spacing w:val="-6"/>
        </w:rPr>
        <w:t> </w:t>
      </w:r>
      <w:r>
        <w:rPr/>
        <w:t>4520,</w:t>
      </w:r>
      <w:r>
        <w:rPr>
          <w:spacing w:val="-6"/>
        </w:rPr>
        <w:t> </w:t>
      </w:r>
      <w:r>
        <w:rPr/>
        <w:t>June</w:t>
      </w:r>
      <w:r>
        <w:rPr>
          <w:spacing w:val="-6"/>
        </w:rPr>
        <w:t> </w:t>
      </w:r>
      <w:r>
        <w:rPr/>
        <w:t>2006.</w:t>
      </w:r>
    </w:p>
    <w:p>
      <w:pPr>
        <w:pStyle w:val="BodyText"/>
        <w:tabs>
          <w:tab w:pos="2199" w:val="left" w:leader="none"/>
        </w:tabs>
        <w:spacing w:line="232" w:lineRule="auto" w:before="220"/>
        <w:ind w:left="2200" w:right="199" w:hanging="1680"/>
      </w:pPr>
      <w:r>
        <w:rPr>
          <w:spacing w:val="-2"/>
        </w:rPr>
        <w:t>[RFC4521]</w:t>
      </w:r>
      <w:r>
        <w:rPr/>
        <w:tab/>
        <w:t>Zeilenga,</w:t>
      </w:r>
      <w:r>
        <w:rPr>
          <w:spacing w:val="-7"/>
        </w:rPr>
        <w:t> </w:t>
      </w:r>
      <w:r>
        <w:rPr/>
        <w:t>K.,</w:t>
      </w:r>
      <w:r>
        <w:rPr>
          <w:spacing w:val="-7"/>
        </w:rPr>
        <w:t> </w:t>
      </w:r>
      <w:r>
        <w:rPr/>
        <w:t>"Considerations</w:t>
      </w:r>
      <w:r>
        <w:rPr>
          <w:spacing w:val="-7"/>
        </w:rPr>
        <w:t> </w:t>
      </w:r>
      <w:r>
        <w:rPr/>
        <w:t>for</w:t>
      </w:r>
      <w:r>
        <w:rPr>
          <w:spacing w:val="-7"/>
        </w:rPr>
        <w:t> </w:t>
      </w:r>
      <w:r>
        <w:rPr/>
        <w:t>LDAP</w:t>
      </w:r>
      <w:r>
        <w:rPr>
          <w:spacing w:val="-7"/>
        </w:rPr>
        <w:t> </w:t>
      </w:r>
      <w:r>
        <w:rPr/>
        <w:t>Extensions",</w:t>
      </w:r>
      <w:r>
        <w:rPr>
          <w:spacing w:val="-7"/>
        </w:rPr>
        <w:t> </w:t>
      </w:r>
      <w:r>
        <w:rPr/>
        <w:t>BCP 118, RFC 4521, June 2006.</w:t>
      </w:r>
    </w:p>
    <w:p>
      <w:pPr>
        <w:pStyle w:val="BodyText"/>
        <w:spacing w:after="0" w:line="232" w:lineRule="auto"/>
        <w:sectPr>
          <w:pgSz w:w="12240" w:h="15840"/>
          <w:pgMar w:header="793" w:footer="2967" w:top="1360" w:bottom="3160" w:left="1440" w:right="1800"/>
        </w:sectPr>
      </w:pPr>
    </w:p>
    <w:p>
      <w:pPr>
        <w:pStyle w:val="BodyText"/>
        <w:tabs>
          <w:tab w:pos="2199" w:val="left" w:leader="none"/>
        </w:tabs>
        <w:spacing w:line="232" w:lineRule="auto" w:before="95"/>
        <w:ind w:left="2200" w:right="799" w:hanging="1680"/>
      </w:pPr>
      <w:r>
        <w:rPr>
          <w:spacing w:val="-2"/>
        </w:rPr>
        <w:t>[X.500]</w:t>
      </w:r>
      <w:r>
        <w:rPr/>
        <w:tab/>
        <w:t>International Telecommunication Union - Telecommunication Standardization Sector, "The Directory -- Overview of concepts, models and services",</w:t>
      </w:r>
      <w:r>
        <w:rPr>
          <w:spacing w:val="-11"/>
        </w:rPr>
        <w:t> </w:t>
      </w:r>
      <w:r>
        <w:rPr/>
        <w:t>X.500(1993)</w:t>
      </w:r>
      <w:r>
        <w:rPr>
          <w:spacing w:val="-11"/>
        </w:rPr>
        <w:t> </w:t>
      </w:r>
      <w:r>
        <w:rPr/>
        <w:t>(also</w:t>
      </w:r>
      <w:r>
        <w:rPr>
          <w:spacing w:val="-11"/>
        </w:rPr>
        <w:t> </w:t>
      </w:r>
      <w:r>
        <w:rPr/>
        <w:t>ISO/IEC</w:t>
      </w:r>
      <w:r>
        <w:rPr>
          <w:spacing w:val="-11"/>
        </w:rPr>
        <w:t> </w:t>
      </w:r>
      <w:r>
        <w:rPr/>
        <w:t>9594-1:1994).</w:t>
      </w:r>
    </w:p>
    <w:p>
      <w:pPr>
        <w:pStyle w:val="BodyText"/>
        <w:tabs>
          <w:tab w:pos="2199" w:val="left" w:leader="none"/>
        </w:tabs>
        <w:spacing w:line="232" w:lineRule="auto" w:before="221"/>
        <w:ind w:left="2200" w:right="439" w:hanging="1680"/>
      </w:pPr>
      <w:r>
        <w:rPr>
          <w:spacing w:val="-2"/>
        </w:rPr>
        <w:t>[X.501]</w:t>
      </w:r>
      <w:r>
        <w:rPr/>
        <w:tab/>
        <w:t>International Telecommunication Union - Telecommunication Standardization Sector, "The Directory</w:t>
      </w:r>
      <w:r>
        <w:rPr>
          <w:spacing w:val="-7"/>
        </w:rPr>
        <w:t> </w:t>
      </w:r>
      <w:r>
        <w:rPr/>
        <w:t>--</w:t>
      </w:r>
      <w:r>
        <w:rPr>
          <w:spacing w:val="-7"/>
        </w:rPr>
        <w:t> </w:t>
      </w:r>
      <w:r>
        <w:rPr/>
        <w:t>Models",</w:t>
      </w:r>
      <w:r>
        <w:rPr>
          <w:spacing w:val="-7"/>
        </w:rPr>
        <w:t> </w:t>
      </w:r>
      <w:r>
        <w:rPr/>
        <w:t>X.501(1993)</w:t>
      </w:r>
      <w:r>
        <w:rPr>
          <w:spacing w:val="-7"/>
        </w:rPr>
        <w:t> </w:t>
      </w:r>
      <w:r>
        <w:rPr/>
        <w:t>(also</w:t>
      </w:r>
      <w:r>
        <w:rPr>
          <w:spacing w:val="-7"/>
        </w:rPr>
        <w:t> </w:t>
      </w:r>
      <w:r>
        <w:rPr/>
        <w:t>ISO/IEC</w:t>
      </w:r>
      <w:r>
        <w:rPr>
          <w:spacing w:val="-7"/>
        </w:rPr>
        <w:t> </w:t>
      </w:r>
      <w:r>
        <w:rPr/>
        <w:t>9594-</w:t>
      </w:r>
      <w:r>
        <w:rPr>
          <w:spacing w:val="-2"/>
        </w:rPr>
        <w:t>2:1994).</w:t>
      </w:r>
    </w:p>
    <w:p>
      <w:pPr>
        <w:pStyle w:val="BodyText"/>
        <w:tabs>
          <w:tab w:pos="2199" w:val="left" w:leader="none"/>
        </w:tabs>
        <w:spacing w:line="232" w:lineRule="auto" w:before="221"/>
        <w:ind w:left="2200" w:right="559" w:hanging="1680"/>
      </w:pPr>
      <w:r>
        <w:rPr>
          <w:spacing w:val="-2"/>
        </w:rPr>
        <w:t>[X.511]</w:t>
      </w:r>
      <w:r>
        <w:rPr/>
        <w:tab/>
        <w:t>International Telecommunication Union - Telecommunication Standardization Sector, "The Directory:</w:t>
      </w:r>
      <w:r>
        <w:rPr>
          <w:spacing w:val="-11"/>
        </w:rPr>
        <w:t> </w:t>
      </w:r>
      <w:r>
        <w:rPr/>
        <w:t>Abstract</w:t>
      </w:r>
      <w:r>
        <w:rPr>
          <w:spacing w:val="-11"/>
        </w:rPr>
        <w:t> </w:t>
      </w:r>
      <w:r>
        <w:rPr/>
        <w:t>Service</w:t>
      </w:r>
      <w:r>
        <w:rPr>
          <w:spacing w:val="-11"/>
        </w:rPr>
        <w:t> </w:t>
      </w:r>
      <w:r>
        <w:rPr/>
        <w:t>Definition",</w:t>
      </w:r>
      <w:r>
        <w:rPr>
          <w:spacing w:val="-11"/>
        </w:rPr>
        <w:t> </w:t>
      </w:r>
      <w:r>
        <w:rPr/>
        <w:t>X.511(1993) (also ISO/IEC 9594-3:1993).</w:t>
      </w:r>
    </w:p>
    <w:p>
      <w:pPr>
        <w:pStyle w:val="BodyText"/>
        <w:spacing w:after="0" w:line="232" w:lineRule="auto"/>
        <w:sectPr>
          <w:pgSz w:w="12240" w:h="15840"/>
          <w:pgMar w:header="793" w:footer="2967" w:top="1360" w:bottom="3160" w:left="1440" w:right="1800"/>
        </w:sectPr>
      </w:pPr>
    </w:p>
    <w:p>
      <w:pPr>
        <w:pStyle w:val="BodyText"/>
        <w:spacing w:before="90"/>
        <w:ind w:left="160"/>
      </w:pPr>
      <w:r>
        <w:rPr/>
        <w:t>Appendix</w:t>
      </w:r>
      <w:r>
        <w:rPr>
          <w:spacing w:val="-7"/>
        </w:rPr>
        <w:t> </w:t>
      </w:r>
      <w:r>
        <w:rPr/>
        <w:t>A.</w:t>
      </w:r>
      <w:r>
        <w:rPr>
          <w:spacing w:val="51"/>
          <w:w w:val="150"/>
        </w:rPr>
        <w:t> </w:t>
      </w:r>
      <w:r>
        <w:rPr/>
        <w:t>Changes</w:t>
      </w:r>
      <w:r>
        <w:rPr>
          <w:spacing w:val="-4"/>
        </w:rPr>
        <w:t> </w:t>
      </w:r>
      <w:r>
        <w:rPr/>
        <w:t>to</w:t>
      </w:r>
      <w:r>
        <w:rPr>
          <w:spacing w:val="-5"/>
        </w:rPr>
        <w:t> </w:t>
      </w:r>
      <w:r>
        <w:rPr/>
        <w:t>Previous</w:t>
      </w:r>
      <w:r>
        <w:rPr>
          <w:spacing w:val="-4"/>
        </w:rPr>
        <w:t> </w:t>
      </w:r>
      <w:r>
        <w:rPr>
          <w:spacing w:val="-2"/>
        </w:rPr>
        <w:t>Documents</w:t>
      </w:r>
    </w:p>
    <w:p>
      <w:pPr>
        <w:pStyle w:val="BodyText"/>
        <w:spacing w:line="232" w:lineRule="auto" w:before="218"/>
      </w:pPr>
      <w:r>
        <w:rPr/>
        <w:t>This</w:t>
      </w:r>
      <w:r>
        <w:rPr>
          <w:spacing w:val="-5"/>
        </w:rPr>
        <w:t> </w:t>
      </w:r>
      <w:r>
        <w:rPr/>
        <w:t>appendix</w:t>
      </w:r>
      <w:r>
        <w:rPr>
          <w:spacing w:val="-5"/>
        </w:rPr>
        <w:t> </w:t>
      </w:r>
      <w:r>
        <w:rPr/>
        <w:t>outlines</w:t>
      </w:r>
      <w:r>
        <w:rPr>
          <w:spacing w:val="-5"/>
        </w:rPr>
        <w:t> </w:t>
      </w:r>
      <w:r>
        <w:rPr/>
        <w:t>changes</w:t>
      </w:r>
      <w:r>
        <w:rPr>
          <w:spacing w:val="-5"/>
        </w:rPr>
        <w:t> </w:t>
      </w:r>
      <w:r>
        <w:rPr/>
        <w:t>this</w:t>
      </w:r>
      <w:r>
        <w:rPr>
          <w:spacing w:val="-5"/>
        </w:rPr>
        <w:t> </w:t>
      </w:r>
      <w:r>
        <w:rPr/>
        <w:t>document</w:t>
      </w:r>
      <w:r>
        <w:rPr>
          <w:spacing w:val="-5"/>
        </w:rPr>
        <w:t> </w:t>
      </w:r>
      <w:r>
        <w:rPr/>
        <w:t>makes</w:t>
      </w:r>
      <w:r>
        <w:rPr>
          <w:spacing w:val="-5"/>
        </w:rPr>
        <w:t> </w:t>
      </w:r>
      <w:r>
        <w:rPr/>
        <w:t>relative</w:t>
      </w:r>
      <w:r>
        <w:rPr>
          <w:spacing w:val="-5"/>
        </w:rPr>
        <w:t> </w:t>
      </w:r>
      <w:r>
        <w:rPr/>
        <w:t>to</w:t>
      </w:r>
      <w:r>
        <w:rPr>
          <w:spacing w:val="-5"/>
        </w:rPr>
        <w:t> </w:t>
      </w:r>
      <w:r>
        <w:rPr/>
        <w:t>the documents it replaces (in whole or in part).</w:t>
      </w:r>
    </w:p>
    <w:p>
      <w:pPr>
        <w:pStyle w:val="ListParagraph"/>
        <w:numPr>
          <w:ilvl w:val="1"/>
          <w:numId w:val="2"/>
        </w:numPr>
        <w:tabs>
          <w:tab w:pos="756" w:val="left" w:leader="none"/>
        </w:tabs>
        <w:spacing w:line="240" w:lineRule="auto" w:before="216" w:after="0"/>
        <w:ind w:left="756" w:right="0" w:hanging="596"/>
        <w:jc w:val="left"/>
        <w:rPr>
          <w:sz w:val="20"/>
        </w:rPr>
      </w:pPr>
      <w:r>
        <w:rPr>
          <w:sz w:val="20"/>
        </w:rPr>
        <w:t>Changes</w:t>
      </w:r>
      <w:r>
        <w:rPr>
          <w:spacing w:val="-4"/>
          <w:sz w:val="20"/>
        </w:rPr>
        <w:t> </w:t>
      </w:r>
      <w:r>
        <w:rPr>
          <w:sz w:val="20"/>
        </w:rPr>
        <w:t>to</w:t>
      </w:r>
      <w:r>
        <w:rPr>
          <w:spacing w:val="-4"/>
          <w:sz w:val="20"/>
        </w:rPr>
        <w:t> </w:t>
      </w:r>
      <w:r>
        <w:rPr>
          <w:sz w:val="20"/>
        </w:rPr>
        <w:t>RFC</w:t>
      </w:r>
      <w:r>
        <w:rPr>
          <w:spacing w:val="-4"/>
          <w:sz w:val="20"/>
        </w:rPr>
        <w:t> 3377</w:t>
      </w:r>
    </w:p>
    <w:p>
      <w:pPr>
        <w:pStyle w:val="BodyText"/>
        <w:spacing w:line="232" w:lineRule="auto" w:before="218"/>
        <w:ind w:right="199"/>
      </w:pPr>
      <w:r>
        <w:rPr/>
        <w:t>This</w:t>
      </w:r>
      <w:r>
        <w:rPr>
          <w:spacing w:val="-4"/>
        </w:rPr>
        <w:t> </w:t>
      </w:r>
      <w:r>
        <w:rPr/>
        <w:t>document</w:t>
      </w:r>
      <w:r>
        <w:rPr>
          <w:spacing w:val="-4"/>
        </w:rPr>
        <w:t> </w:t>
      </w:r>
      <w:r>
        <w:rPr/>
        <w:t>is</w:t>
      </w:r>
      <w:r>
        <w:rPr>
          <w:spacing w:val="-4"/>
        </w:rPr>
        <w:t> </w:t>
      </w:r>
      <w:r>
        <w:rPr/>
        <w:t>nearly</w:t>
      </w:r>
      <w:r>
        <w:rPr>
          <w:spacing w:val="-4"/>
        </w:rPr>
        <w:t> </w:t>
      </w:r>
      <w:r>
        <w:rPr/>
        <w:t>a</w:t>
      </w:r>
      <w:r>
        <w:rPr>
          <w:spacing w:val="-4"/>
        </w:rPr>
        <w:t> </w:t>
      </w:r>
      <w:r>
        <w:rPr/>
        <w:t>complete</w:t>
      </w:r>
      <w:r>
        <w:rPr>
          <w:spacing w:val="-4"/>
        </w:rPr>
        <w:t> </w:t>
      </w:r>
      <w:r>
        <w:rPr/>
        <w:t>rewrite</w:t>
      </w:r>
      <w:r>
        <w:rPr>
          <w:spacing w:val="-4"/>
        </w:rPr>
        <w:t> </w:t>
      </w:r>
      <w:r>
        <w:rPr/>
        <w:t>of</w:t>
      </w:r>
      <w:r>
        <w:rPr>
          <w:spacing w:val="-4"/>
        </w:rPr>
        <w:t> </w:t>
      </w:r>
      <w:r>
        <w:rPr/>
        <w:t>RFC</w:t>
      </w:r>
      <w:r>
        <w:rPr>
          <w:spacing w:val="-4"/>
        </w:rPr>
        <w:t> </w:t>
      </w:r>
      <w:r>
        <w:rPr/>
        <w:t>3377</w:t>
      </w:r>
      <w:r>
        <w:rPr>
          <w:spacing w:val="-4"/>
        </w:rPr>
        <w:t> </w:t>
      </w:r>
      <w:r>
        <w:rPr/>
        <w:t>as</w:t>
      </w:r>
      <w:r>
        <w:rPr>
          <w:spacing w:val="-4"/>
        </w:rPr>
        <w:t> </w:t>
      </w:r>
      <w:r>
        <w:rPr/>
        <w:t>much</w:t>
      </w:r>
      <w:r>
        <w:rPr>
          <w:spacing w:val="-4"/>
        </w:rPr>
        <w:t> </w:t>
      </w:r>
      <w:r>
        <w:rPr/>
        <w:t>of</w:t>
      </w:r>
      <w:r>
        <w:rPr>
          <w:spacing w:val="-4"/>
        </w:rPr>
        <w:t> </w:t>
      </w:r>
      <w:r>
        <w:rPr/>
        <w:t>the material of RFC 3377 is no longer applicable.</w:t>
      </w:r>
      <w:r>
        <w:rPr>
          <w:spacing w:val="80"/>
        </w:rPr>
        <w:t> </w:t>
      </w:r>
      <w:r>
        <w:rPr/>
        <w:t>The changes include redefining</w:t>
      </w:r>
      <w:r>
        <w:rPr>
          <w:spacing w:val="-4"/>
        </w:rPr>
        <w:t> </w:t>
      </w:r>
      <w:r>
        <w:rPr/>
        <w:t>the</w:t>
      </w:r>
      <w:r>
        <w:rPr>
          <w:spacing w:val="-4"/>
        </w:rPr>
        <w:t> </w:t>
      </w:r>
      <w:r>
        <w:rPr/>
        <w:t>terms</w:t>
      </w:r>
      <w:r>
        <w:rPr>
          <w:spacing w:val="-4"/>
        </w:rPr>
        <w:t> </w:t>
      </w:r>
      <w:r>
        <w:rPr/>
        <w:t>"LDAP"</w:t>
      </w:r>
      <w:r>
        <w:rPr>
          <w:spacing w:val="-4"/>
        </w:rPr>
        <w:t> </w:t>
      </w:r>
      <w:r>
        <w:rPr/>
        <w:t>and</w:t>
      </w:r>
      <w:r>
        <w:rPr>
          <w:spacing w:val="-4"/>
        </w:rPr>
        <w:t> </w:t>
      </w:r>
      <w:r>
        <w:rPr/>
        <w:t>"LDAPv3"</w:t>
      </w:r>
      <w:r>
        <w:rPr>
          <w:spacing w:val="-4"/>
        </w:rPr>
        <w:t> </w:t>
      </w:r>
      <w:r>
        <w:rPr/>
        <w:t>to</w:t>
      </w:r>
      <w:r>
        <w:rPr>
          <w:spacing w:val="-4"/>
        </w:rPr>
        <w:t> </w:t>
      </w:r>
      <w:r>
        <w:rPr/>
        <w:t>refer</w:t>
      </w:r>
      <w:r>
        <w:rPr>
          <w:spacing w:val="-4"/>
        </w:rPr>
        <w:t> </w:t>
      </w:r>
      <w:r>
        <w:rPr/>
        <w:t>to</w:t>
      </w:r>
      <w:r>
        <w:rPr>
          <w:spacing w:val="-4"/>
        </w:rPr>
        <w:t> </w:t>
      </w:r>
      <w:r>
        <w:rPr/>
        <w:t>this</w:t>
      </w:r>
      <w:r>
        <w:rPr>
          <w:spacing w:val="-4"/>
        </w:rPr>
        <w:t> </w:t>
      </w:r>
      <w:r>
        <w:rPr/>
        <w:t>revision</w:t>
      </w:r>
      <w:r>
        <w:rPr>
          <w:spacing w:val="-4"/>
        </w:rPr>
        <w:t> </w:t>
      </w:r>
      <w:r>
        <w:rPr/>
        <w:t>of the technical specification.</w:t>
      </w:r>
    </w:p>
    <w:p>
      <w:pPr>
        <w:pStyle w:val="ListParagraph"/>
        <w:numPr>
          <w:ilvl w:val="1"/>
          <w:numId w:val="2"/>
        </w:numPr>
        <w:tabs>
          <w:tab w:pos="756" w:val="left" w:leader="none"/>
        </w:tabs>
        <w:spacing w:line="240" w:lineRule="auto" w:before="216" w:after="0"/>
        <w:ind w:left="756" w:right="0" w:hanging="596"/>
        <w:jc w:val="left"/>
        <w:rPr>
          <w:sz w:val="20"/>
        </w:rPr>
      </w:pPr>
      <w:r>
        <w:rPr>
          <w:sz w:val="20"/>
        </w:rPr>
        <w:t>Changes</w:t>
      </w:r>
      <w:r>
        <w:rPr>
          <w:spacing w:val="-6"/>
          <w:sz w:val="20"/>
        </w:rPr>
        <w:t> </w:t>
      </w:r>
      <w:r>
        <w:rPr>
          <w:sz w:val="20"/>
        </w:rPr>
        <w:t>to</w:t>
      </w:r>
      <w:r>
        <w:rPr>
          <w:spacing w:val="-4"/>
          <w:sz w:val="20"/>
        </w:rPr>
        <w:t> </w:t>
      </w:r>
      <w:r>
        <w:rPr>
          <w:sz w:val="20"/>
        </w:rPr>
        <w:t>Section</w:t>
      </w:r>
      <w:r>
        <w:rPr>
          <w:spacing w:val="-4"/>
          <w:sz w:val="20"/>
        </w:rPr>
        <w:t> </w:t>
      </w:r>
      <w:r>
        <w:rPr>
          <w:sz w:val="20"/>
        </w:rPr>
        <w:t>3.3</w:t>
      </w:r>
      <w:r>
        <w:rPr>
          <w:spacing w:val="-4"/>
          <w:sz w:val="20"/>
        </w:rPr>
        <w:t> </w:t>
      </w:r>
      <w:r>
        <w:rPr>
          <w:sz w:val="20"/>
        </w:rPr>
        <w:t>of</w:t>
      </w:r>
      <w:r>
        <w:rPr>
          <w:spacing w:val="-4"/>
          <w:sz w:val="20"/>
        </w:rPr>
        <w:t> </w:t>
      </w:r>
      <w:r>
        <w:rPr>
          <w:sz w:val="20"/>
        </w:rPr>
        <w:t>RFC</w:t>
      </w:r>
      <w:r>
        <w:rPr>
          <w:spacing w:val="-4"/>
          <w:sz w:val="20"/>
        </w:rPr>
        <w:t> 2251</w:t>
      </w:r>
    </w:p>
    <w:p>
      <w:pPr>
        <w:pStyle w:val="BodyText"/>
        <w:spacing w:line="232" w:lineRule="auto" w:before="218"/>
        <w:ind w:right="338"/>
      </w:pPr>
      <w:r>
        <w:rPr/>
        <w:t>The</w:t>
      </w:r>
      <w:r>
        <w:rPr>
          <w:spacing w:val="-5"/>
        </w:rPr>
        <w:t> </w:t>
      </w:r>
      <w:r>
        <w:rPr/>
        <w:t>section</w:t>
      </w:r>
      <w:r>
        <w:rPr>
          <w:spacing w:val="-5"/>
        </w:rPr>
        <w:t> </w:t>
      </w:r>
      <w:r>
        <w:rPr/>
        <w:t>was</w:t>
      </w:r>
      <w:r>
        <w:rPr>
          <w:spacing w:val="-5"/>
        </w:rPr>
        <w:t> </w:t>
      </w:r>
      <w:r>
        <w:rPr/>
        <w:t>modified</w:t>
      </w:r>
      <w:r>
        <w:rPr>
          <w:spacing w:val="-5"/>
        </w:rPr>
        <w:t> </w:t>
      </w:r>
      <w:r>
        <w:rPr/>
        <w:t>slightly</w:t>
      </w:r>
      <w:r>
        <w:rPr>
          <w:spacing w:val="-5"/>
        </w:rPr>
        <w:t> </w:t>
      </w:r>
      <w:r>
        <w:rPr/>
        <w:t>(the</w:t>
      </w:r>
      <w:r>
        <w:rPr>
          <w:spacing w:val="-5"/>
        </w:rPr>
        <w:t> </w:t>
      </w:r>
      <w:r>
        <w:rPr/>
        <w:t>word</w:t>
      </w:r>
      <w:r>
        <w:rPr>
          <w:spacing w:val="-5"/>
        </w:rPr>
        <w:t> </w:t>
      </w:r>
      <w:r>
        <w:rPr/>
        <w:t>"document"</w:t>
      </w:r>
      <w:r>
        <w:rPr>
          <w:spacing w:val="-5"/>
        </w:rPr>
        <w:t> </w:t>
      </w:r>
      <w:r>
        <w:rPr/>
        <w:t>was</w:t>
      </w:r>
      <w:r>
        <w:rPr>
          <w:spacing w:val="-5"/>
        </w:rPr>
        <w:t> </w:t>
      </w:r>
      <w:r>
        <w:rPr/>
        <w:t>replaced with "technical specification") to clarify that it applies to the entire LDAP technical specification.</w:t>
      </w:r>
    </w:p>
    <w:p>
      <w:pPr>
        <w:pStyle w:val="BodyText"/>
        <w:spacing w:before="216"/>
        <w:ind w:left="160"/>
      </w:pPr>
      <w:r>
        <w:rPr/>
        <w:t>Author’s</w:t>
      </w:r>
      <w:r>
        <w:rPr>
          <w:spacing w:val="-8"/>
        </w:rPr>
        <w:t> </w:t>
      </w:r>
      <w:r>
        <w:rPr>
          <w:spacing w:val="-2"/>
        </w:rPr>
        <w:t>Address</w:t>
      </w:r>
    </w:p>
    <w:p>
      <w:pPr>
        <w:pStyle w:val="BodyText"/>
        <w:spacing w:line="232" w:lineRule="auto" w:before="219"/>
        <w:ind w:right="5619"/>
      </w:pPr>
      <w:r>
        <w:rPr/>
        <w:t>Kurt D. Zeilenga OpenLDAP</w:t>
      </w:r>
      <w:r>
        <w:rPr>
          <w:spacing w:val="-32"/>
        </w:rPr>
        <w:t> </w:t>
      </w:r>
      <w:r>
        <w:rPr/>
        <w:t>Foundation</w:t>
      </w:r>
    </w:p>
    <w:p>
      <w:pPr>
        <w:pStyle w:val="BodyText"/>
        <w:spacing w:before="215"/>
      </w:pPr>
      <w:r>
        <w:rPr/>
        <w:t>EMail:</w:t>
      </w:r>
      <w:r>
        <w:rPr>
          <w:spacing w:val="-8"/>
        </w:rPr>
        <w:t> </w:t>
      </w:r>
      <w:hyperlink r:id="rId8">
        <w:r>
          <w:rPr>
            <w:spacing w:val="-2"/>
          </w:rPr>
          <w:t>Kurt@OpenLDAP.org</w:t>
        </w:r>
      </w:hyperlink>
    </w:p>
    <w:p>
      <w:pPr>
        <w:pStyle w:val="BodyText"/>
        <w:spacing w:after="0"/>
        <w:sectPr>
          <w:pgSz w:w="12240" w:h="15840"/>
          <w:pgMar w:header="793" w:footer="2967" w:top="1360" w:bottom="3160" w:left="1440" w:right="1800"/>
        </w:sectPr>
      </w:pPr>
    </w:p>
    <w:p>
      <w:pPr>
        <w:pStyle w:val="BodyText"/>
        <w:spacing w:before="90"/>
        <w:ind w:left="160"/>
      </w:pPr>
      <w:r>
        <w:rPr/>
        <w:t>Full</w:t>
      </w:r>
      <w:r>
        <w:rPr>
          <w:spacing w:val="-7"/>
        </w:rPr>
        <w:t> </w:t>
      </w:r>
      <w:r>
        <w:rPr/>
        <w:t>Copyright</w:t>
      </w:r>
      <w:r>
        <w:rPr>
          <w:spacing w:val="-6"/>
        </w:rPr>
        <w:t> </w:t>
      </w:r>
      <w:r>
        <w:rPr>
          <w:spacing w:val="-2"/>
        </w:rPr>
        <w:t>Statement</w:t>
      </w:r>
    </w:p>
    <w:p>
      <w:pPr>
        <w:pStyle w:val="BodyText"/>
        <w:spacing w:before="213"/>
        <w:jc w:val="both"/>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line="232" w:lineRule="auto" w:before="219"/>
        <w:ind w:right="679"/>
        <w:jc w:val="both"/>
      </w:pPr>
      <w:r>
        <w:rPr/>
        <w:t>This</w:t>
      </w:r>
      <w:r>
        <w:rPr>
          <w:spacing w:val="-5"/>
        </w:rPr>
        <w:t> </w:t>
      </w:r>
      <w:r>
        <w:rPr/>
        <w:t>document</w:t>
      </w:r>
      <w:r>
        <w:rPr>
          <w:spacing w:val="-5"/>
        </w:rPr>
        <w:t> </w:t>
      </w:r>
      <w:r>
        <w:rPr/>
        <w:t>is</w:t>
      </w:r>
      <w:r>
        <w:rPr>
          <w:spacing w:val="-5"/>
        </w:rPr>
        <w:t> </w:t>
      </w:r>
      <w:r>
        <w:rPr/>
        <w:t>subject</w:t>
      </w:r>
      <w:r>
        <w:rPr>
          <w:spacing w:val="-5"/>
        </w:rPr>
        <w:t> </w:t>
      </w:r>
      <w:r>
        <w:rPr/>
        <w:t>to</w:t>
      </w:r>
      <w:r>
        <w:rPr>
          <w:spacing w:val="-5"/>
        </w:rPr>
        <w:t> </w:t>
      </w:r>
      <w:r>
        <w:rPr/>
        <w:t>the</w:t>
      </w:r>
      <w:r>
        <w:rPr>
          <w:spacing w:val="-5"/>
        </w:rPr>
        <w:t> </w:t>
      </w:r>
      <w:r>
        <w:rPr/>
        <w:t>rights,</w:t>
      </w:r>
      <w:r>
        <w:rPr>
          <w:spacing w:val="-5"/>
        </w:rPr>
        <w:t> </w:t>
      </w:r>
      <w:r>
        <w:rPr/>
        <w:t>licenses</w:t>
      </w:r>
      <w:r>
        <w:rPr>
          <w:spacing w:val="-5"/>
        </w:rPr>
        <w:t> </w:t>
      </w:r>
      <w:r>
        <w:rPr/>
        <w:t>and</w:t>
      </w:r>
      <w:r>
        <w:rPr>
          <w:spacing w:val="-5"/>
        </w:rPr>
        <w:t> </w:t>
      </w:r>
      <w:r>
        <w:rPr/>
        <w:t>restrictions contained</w:t>
      </w:r>
      <w:r>
        <w:rPr>
          <w:spacing w:val="-4"/>
        </w:rPr>
        <w:t> </w:t>
      </w:r>
      <w:r>
        <w:rPr/>
        <w:t>in</w:t>
      </w:r>
      <w:r>
        <w:rPr>
          <w:spacing w:val="-4"/>
        </w:rPr>
        <w:t> </w:t>
      </w:r>
      <w:r>
        <w:rPr/>
        <w:t>BCP</w:t>
      </w:r>
      <w:r>
        <w:rPr>
          <w:spacing w:val="-4"/>
        </w:rPr>
        <w:t> </w:t>
      </w:r>
      <w:r>
        <w:rPr/>
        <w:t>78,</w:t>
      </w:r>
      <w:r>
        <w:rPr>
          <w:spacing w:val="-4"/>
        </w:rPr>
        <w:t> </w:t>
      </w:r>
      <w:r>
        <w:rPr/>
        <w:t>and</w:t>
      </w:r>
      <w:r>
        <w:rPr>
          <w:spacing w:val="-4"/>
        </w:rPr>
        <w:t> </w:t>
      </w:r>
      <w:r>
        <w:rPr/>
        <w:t>except</w:t>
      </w:r>
      <w:r>
        <w:rPr>
          <w:spacing w:val="-4"/>
        </w:rPr>
        <w:t> </w:t>
      </w:r>
      <w:r>
        <w:rPr/>
        <w:t>as</w:t>
      </w:r>
      <w:r>
        <w:rPr>
          <w:spacing w:val="-4"/>
        </w:rPr>
        <w:t> </w:t>
      </w:r>
      <w:r>
        <w:rPr/>
        <w:t>set</w:t>
      </w:r>
      <w:r>
        <w:rPr>
          <w:spacing w:val="-4"/>
        </w:rPr>
        <w:t> </w:t>
      </w:r>
      <w:r>
        <w:rPr/>
        <w:t>forth</w:t>
      </w:r>
      <w:r>
        <w:rPr>
          <w:spacing w:val="-4"/>
        </w:rPr>
        <w:t> </w:t>
      </w:r>
      <w:r>
        <w:rPr/>
        <w:t>therein,</w:t>
      </w:r>
      <w:r>
        <w:rPr>
          <w:spacing w:val="-4"/>
        </w:rPr>
        <w:t> </w:t>
      </w:r>
      <w:r>
        <w:rPr/>
        <w:t>the</w:t>
      </w:r>
      <w:r>
        <w:rPr>
          <w:spacing w:val="-4"/>
        </w:rPr>
        <w:t> </w:t>
      </w:r>
      <w:r>
        <w:rPr/>
        <w:t>authors retain all their rights.</w:t>
      </w:r>
    </w:p>
    <w:p>
      <w:pPr>
        <w:pStyle w:val="BodyText"/>
        <w:spacing w:line="232" w:lineRule="auto" w:before="220"/>
        <w:ind w:right="199"/>
      </w:pPr>
      <w:r>
        <w:rPr/>
        <w:t>This</w:t>
      </w:r>
      <w:r>
        <w:rPr>
          <w:spacing w:val="-5"/>
        </w:rPr>
        <w:t> </w:t>
      </w:r>
      <w:r>
        <w:rPr/>
        <w:t>document</w:t>
      </w:r>
      <w:r>
        <w:rPr>
          <w:spacing w:val="-5"/>
        </w:rPr>
        <w:t> </w:t>
      </w:r>
      <w:r>
        <w:rPr/>
        <w:t>and</w:t>
      </w:r>
      <w:r>
        <w:rPr>
          <w:spacing w:val="-5"/>
        </w:rPr>
        <w:t> </w:t>
      </w:r>
      <w:r>
        <w:rPr/>
        <w:t>the</w:t>
      </w:r>
      <w:r>
        <w:rPr>
          <w:spacing w:val="-5"/>
        </w:rPr>
        <w:t> </w:t>
      </w:r>
      <w:r>
        <w:rPr/>
        <w:t>information</w:t>
      </w:r>
      <w:r>
        <w:rPr>
          <w:spacing w:val="-5"/>
        </w:rPr>
        <w:t> </w:t>
      </w:r>
      <w:r>
        <w:rPr/>
        <w:t>contained</w:t>
      </w:r>
      <w:r>
        <w:rPr>
          <w:spacing w:val="-5"/>
        </w:rPr>
        <w:t> </w:t>
      </w:r>
      <w:r>
        <w:rPr/>
        <w:t>herein</w:t>
      </w:r>
      <w:r>
        <w:rPr>
          <w:spacing w:val="-5"/>
        </w:rPr>
        <w:t> </w:t>
      </w:r>
      <w:r>
        <w:rPr/>
        <w:t>are</w:t>
      </w:r>
      <w:r>
        <w:rPr>
          <w:spacing w:val="-5"/>
        </w:rPr>
        <w:t> </w:t>
      </w:r>
      <w:r>
        <w:rPr/>
        <w:t>provided</w:t>
      </w:r>
      <w:r>
        <w:rPr>
          <w:spacing w:val="-5"/>
        </w:rPr>
        <w:t> </w:t>
      </w:r>
      <w:r>
        <w:rPr/>
        <w:t>on</w:t>
      </w:r>
      <w:r>
        <w:rPr>
          <w:spacing w:val="-5"/>
        </w:rPr>
        <w:t> </w:t>
      </w:r>
      <w:r>
        <w:rPr/>
        <w:t>an "AS</w:t>
      </w:r>
      <w:r>
        <w:rPr>
          <w:spacing w:val="-5"/>
        </w:rPr>
        <w:t> </w:t>
      </w:r>
      <w:r>
        <w:rPr/>
        <w:t>IS"</w:t>
      </w:r>
      <w:r>
        <w:rPr>
          <w:spacing w:val="-5"/>
        </w:rPr>
        <w:t> </w:t>
      </w:r>
      <w:r>
        <w:rPr/>
        <w:t>basis</w:t>
      </w:r>
      <w:r>
        <w:rPr>
          <w:spacing w:val="-5"/>
        </w:rPr>
        <w:t> </w:t>
      </w:r>
      <w:r>
        <w:rPr/>
        <w:t>and</w:t>
      </w:r>
      <w:r>
        <w:rPr>
          <w:spacing w:val="-5"/>
        </w:rPr>
        <w:t> </w:t>
      </w:r>
      <w:r>
        <w:rPr/>
        <w:t>THE</w:t>
      </w:r>
      <w:r>
        <w:rPr>
          <w:spacing w:val="-5"/>
        </w:rPr>
        <w:t> </w:t>
      </w:r>
      <w:r>
        <w:rPr/>
        <w:t>CONTRIBUTOR,</w:t>
      </w:r>
      <w:r>
        <w:rPr>
          <w:spacing w:val="-5"/>
        </w:rPr>
        <w:t> </w:t>
      </w:r>
      <w:r>
        <w:rPr/>
        <w:t>THE</w:t>
      </w:r>
      <w:r>
        <w:rPr>
          <w:spacing w:val="-5"/>
        </w:rPr>
        <w:t> </w:t>
      </w:r>
      <w:r>
        <w:rPr/>
        <w:t>ORGANIZATION</w:t>
      </w:r>
      <w:r>
        <w:rPr>
          <w:spacing w:val="-5"/>
        </w:rPr>
        <w:t> </w:t>
      </w:r>
      <w:r>
        <w:rPr/>
        <w:t>HE/SHE</w:t>
      </w:r>
      <w:r>
        <w:rPr>
          <w:spacing w:val="-5"/>
        </w:rPr>
        <w:t> </w:t>
      </w:r>
      <w:r>
        <w:rPr/>
        <w:t>REPRESENTS OR IS SPONSORED BY (IF ANY), THE INTERNET SOCIETY AND THE INTERNET ENGINEERING TASK FORCE DISCLAIM ALL WARRANTIES, EXPRESS OR IMPLIED, INCLUDING BUT NOT LIMITED TO ANY WARRANTY THAT THE USE OF THE INFORMATION HEREIN WILL NOT INFRINGE ANY RIGHTS OR ANY IMPLIED WARRANTIES OF MERCHANTABILITY OR FITNESS FOR A PARTICULAR PURPOSE.</w:t>
      </w:r>
    </w:p>
    <w:p>
      <w:pPr>
        <w:pStyle w:val="BodyText"/>
        <w:spacing w:before="217"/>
        <w:ind w:left="160"/>
      </w:pPr>
      <w:r>
        <w:rPr/>
        <w:t>Intellectual</w:t>
      </w:r>
      <w:r>
        <w:rPr>
          <w:spacing w:val="-12"/>
        </w:rPr>
        <w:t> </w:t>
      </w:r>
      <w:r>
        <w:rPr>
          <w:spacing w:val="-2"/>
        </w:rPr>
        <w:t>Property</w:t>
      </w:r>
    </w:p>
    <w:p>
      <w:pPr>
        <w:pStyle w:val="BodyText"/>
        <w:spacing w:line="232" w:lineRule="auto" w:before="218"/>
        <w:ind w:right="199"/>
      </w:pPr>
      <w:r>
        <w:rPr/>
        <w:t>The IETF takes no position regarding the validity or scope of any Intellectual</w:t>
      </w:r>
      <w:r>
        <w:rPr>
          <w:spacing w:val="-5"/>
        </w:rPr>
        <w:t> </w:t>
      </w:r>
      <w:r>
        <w:rPr/>
        <w:t>Property</w:t>
      </w:r>
      <w:r>
        <w:rPr>
          <w:spacing w:val="-5"/>
        </w:rPr>
        <w:t> </w:t>
      </w:r>
      <w:r>
        <w:rPr/>
        <w:t>Rights</w:t>
      </w:r>
      <w:r>
        <w:rPr>
          <w:spacing w:val="-5"/>
        </w:rPr>
        <w:t> </w:t>
      </w:r>
      <w:r>
        <w:rPr/>
        <w:t>or</w:t>
      </w:r>
      <w:r>
        <w:rPr>
          <w:spacing w:val="-5"/>
        </w:rPr>
        <w:t> </w:t>
      </w:r>
      <w:r>
        <w:rPr/>
        <w:t>other</w:t>
      </w:r>
      <w:r>
        <w:rPr>
          <w:spacing w:val="-5"/>
        </w:rPr>
        <w:t> </w:t>
      </w:r>
      <w:r>
        <w:rPr/>
        <w:t>rights</w:t>
      </w:r>
      <w:r>
        <w:rPr>
          <w:spacing w:val="-5"/>
        </w:rPr>
        <w:t> </w:t>
      </w:r>
      <w:r>
        <w:rPr/>
        <w:t>that</w:t>
      </w:r>
      <w:r>
        <w:rPr>
          <w:spacing w:val="-5"/>
        </w:rPr>
        <w:t> </w:t>
      </w:r>
      <w:r>
        <w:rPr/>
        <w:t>might</w:t>
      </w:r>
      <w:r>
        <w:rPr>
          <w:spacing w:val="-5"/>
        </w:rPr>
        <w:t> </w:t>
      </w:r>
      <w:r>
        <w:rPr/>
        <w:t>be</w:t>
      </w:r>
      <w:r>
        <w:rPr>
          <w:spacing w:val="-5"/>
        </w:rPr>
        <w:t> </w:t>
      </w:r>
      <w:r>
        <w:rPr/>
        <w:t>claimed</w:t>
      </w:r>
      <w:r>
        <w:rPr>
          <w:spacing w:val="-5"/>
        </w:rPr>
        <w:t> </w:t>
      </w:r>
      <w:r>
        <w:rPr/>
        <w:t>to pertain to the implementation or use of the technology described in this document or the extent to which any license under such rights might or might not be available; nor does it represent that it has made</w:t>
      </w:r>
      <w:r>
        <w:rPr>
          <w:spacing w:val="-5"/>
        </w:rPr>
        <w:t> </w:t>
      </w:r>
      <w:r>
        <w:rPr/>
        <w:t>any</w:t>
      </w:r>
      <w:r>
        <w:rPr>
          <w:spacing w:val="-5"/>
        </w:rPr>
        <w:t> </w:t>
      </w:r>
      <w:r>
        <w:rPr/>
        <w:t>independent</w:t>
      </w:r>
      <w:r>
        <w:rPr>
          <w:spacing w:val="-5"/>
        </w:rPr>
        <w:t> </w:t>
      </w:r>
      <w:r>
        <w:rPr/>
        <w:t>effort</w:t>
      </w:r>
      <w:r>
        <w:rPr>
          <w:spacing w:val="-5"/>
        </w:rPr>
        <w:t> </w:t>
      </w:r>
      <w:r>
        <w:rPr/>
        <w:t>to</w:t>
      </w:r>
      <w:r>
        <w:rPr>
          <w:spacing w:val="-5"/>
        </w:rPr>
        <w:t> </w:t>
      </w:r>
      <w:r>
        <w:rPr/>
        <w:t>identify</w:t>
      </w:r>
      <w:r>
        <w:rPr>
          <w:spacing w:val="-5"/>
        </w:rPr>
        <w:t> </w:t>
      </w:r>
      <w:r>
        <w:rPr/>
        <w:t>any</w:t>
      </w:r>
      <w:r>
        <w:rPr>
          <w:spacing w:val="-5"/>
        </w:rPr>
        <w:t> </w:t>
      </w:r>
      <w:r>
        <w:rPr/>
        <w:t>such</w:t>
      </w:r>
      <w:r>
        <w:rPr>
          <w:spacing w:val="-5"/>
        </w:rPr>
        <w:t> </w:t>
      </w:r>
      <w:r>
        <w:rPr/>
        <w:t>rights.</w:t>
      </w:r>
      <w:r>
        <w:rPr>
          <w:spacing w:val="80"/>
        </w:rPr>
        <w:t> </w:t>
      </w:r>
      <w:r>
        <w:rPr/>
        <w:t>Information on the procedures with respect to rights in RFC documents can be found in BCP 78 and BCP 79.</w:t>
      </w:r>
    </w:p>
    <w:p>
      <w:pPr>
        <w:pStyle w:val="BodyText"/>
        <w:spacing w:line="232" w:lineRule="auto" w:before="222"/>
        <w:ind w:right="199"/>
      </w:pPr>
      <w:r>
        <w:rPr/>
        <w:t>Copies of IPR disclosures made to the IETF Secretariat and any assurances of licenses to be made available, or the result of an attempt</w:t>
      </w:r>
      <w:r>
        <w:rPr>
          <w:spacing w:val="-4"/>
        </w:rPr>
        <w:t> </w:t>
      </w:r>
      <w:r>
        <w:rPr/>
        <w:t>made</w:t>
      </w:r>
      <w:r>
        <w:rPr>
          <w:spacing w:val="-4"/>
        </w:rPr>
        <w:t> </w:t>
      </w:r>
      <w:r>
        <w:rPr/>
        <w:t>to</w:t>
      </w:r>
      <w:r>
        <w:rPr>
          <w:spacing w:val="-4"/>
        </w:rPr>
        <w:t> </w:t>
      </w:r>
      <w:r>
        <w:rPr/>
        <w:t>obtain</w:t>
      </w:r>
      <w:r>
        <w:rPr>
          <w:spacing w:val="-4"/>
        </w:rPr>
        <w:t> </w:t>
      </w:r>
      <w:r>
        <w:rPr/>
        <w:t>a</w:t>
      </w:r>
      <w:r>
        <w:rPr>
          <w:spacing w:val="-4"/>
        </w:rPr>
        <w:t> </w:t>
      </w:r>
      <w:r>
        <w:rPr/>
        <w:t>general</w:t>
      </w:r>
      <w:r>
        <w:rPr>
          <w:spacing w:val="-4"/>
        </w:rPr>
        <w:t> </w:t>
      </w:r>
      <w:r>
        <w:rPr/>
        <w:t>license</w:t>
      </w:r>
      <w:r>
        <w:rPr>
          <w:spacing w:val="-4"/>
        </w:rPr>
        <w:t> </w:t>
      </w:r>
      <w:r>
        <w:rPr/>
        <w:t>or</w:t>
      </w:r>
      <w:r>
        <w:rPr>
          <w:spacing w:val="-4"/>
        </w:rPr>
        <w:t> </w:t>
      </w:r>
      <w:r>
        <w:rPr/>
        <w:t>permission</w:t>
      </w:r>
      <w:r>
        <w:rPr>
          <w:spacing w:val="-4"/>
        </w:rPr>
        <w:t> </w:t>
      </w:r>
      <w:r>
        <w:rPr/>
        <w:t>for</w:t>
      </w:r>
      <w:r>
        <w:rPr>
          <w:spacing w:val="-4"/>
        </w:rPr>
        <w:t> </w:t>
      </w:r>
      <w:r>
        <w:rPr/>
        <w:t>the</w:t>
      </w:r>
      <w:r>
        <w:rPr>
          <w:spacing w:val="-4"/>
        </w:rPr>
        <w:t> </w:t>
      </w:r>
      <w:r>
        <w:rPr/>
        <w:t>use</w:t>
      </w:r>
      <w:r>
        <w:rPr>
          <w:spacing w:val="-4"/>
        </w:rPr>
        <w:t> </w:t>
      </w:r>
      <w:r>
        <w:rPr/>
        <w:t>of such proprietary rights by implementers or users of this specification</w:t>
      </w:r>
      <w:r>
        <w:rPr>
          <w:spacing w:val="-5"/>
        </w:rPr>
        <w:t> </w:t>
      </w:r>
      <w:r>
        <w:rPr/>
        <w:t>can</w:t>
      </w:r>
      <w:r>
        <w:rPr>
          <w:spacing w:val="-5"/>
        </w:rPr>
        <w:t> </w:t>
      </w:r>
      <w:r>
        <w:rPr/>
        <w:t>be</w:t>
      </w:r>
      <w:r>
        <w:rPr>
          <w:spacing w:val="-5"/>
        </w:rPr>
        <w:t> </w:t>
      </w:r>
      <w:r>
        <w:rPr/>
        <w:t>obtained</w:t>
      </w:r>
      <w:r>
        <w:rPr>
          <w:spacing w:val="-5"/>
        </w:rPr>
        <w:t> </w:t>
      </w:r>
      <w:r>
        <w:rPr/>
        <w:t>from</w:t>
      </w:r>
      <w:r>
        <w:rPr>
          <w:spacing w:val="-5"/>
        </w:rPr>
        <w:t> </w:t>
      </w:r>
      <w:r>
        <w:rPr/>
        <w:t>the</w:t>
      </w:r>
      <w:r>
        <w:rPr>
          <w:spacing w:val="-5"/>
        </w:rPr>
        <w:t> </w:t>
      </w:r>
      <w:r>
        <w:rPr/>
        <w:t>IETF</w:t>
      </w:r>
      <w:r>
        <w:rPr>
          <w:spacing w:val="-5"/>
        </w:rPr>
        <w:t> </w:t>
      </w:r>
      <w:r>
        <w:rPr/>
        <w:t>on-line</w:t>
      </w:r>
      <w:r>
        <w:rPr>
          <w:spacing w:val="-5"/>
        </w:rPr>
        <w:t> </w:t>
      </w:r>
      <w:r>
        <w:rPr/>
        <w:t>IPR</w:t>
      </w:r>
      <w:r>
        <w:rPr>
          <w:spacing w:val="-5"/>
        </w:rPr>
        <w:t> </w:t>
      </w:r>
      <w:r>
        <w:rPr/>
        <w:t>repository</w:t>
      </w:r>
      <w:r>
        <w:rPr>
          <w:spacing w:val="-5"/>
        </w:rPr>
        <w:t> </w:t>
      </w:r>
      <w:r>
        <w:rPr/>
        <w:t>at </w:t>
      </w:r>
      <w:hyperlink r:id="rId9">
        <w:r>
          <w:rPr>
            <w:spacing w:val="-2"/>
          </w:rPr>
          <w:t>http://www.ietf.org/ipr</w:t>
        </w:r>
      </w:hyperlink>
      <w:r>
        <w:rPr>
          <w:spacing w:val="-2"/>
        </w:rPr>
        <w:t>.</w:t>
      </w:r>
    </w:p>
    <w:p>
      <w:pPr>
        <w:pStyle w:val="BodyText"/>
        <w:spacing w:line="232" w:lineRule="auto" w:before="222"/>
        <w:ind w:right="338"/>
      </w:pPr>
      <w:r>
        <w:rPr/>
        <w:t>The</w:t>
      </w:r>
      <w:r>
        <w:rPr>
          <w:spacing w:val="-4"/>
        </w:rPr>
        <w:t> </w:t>
      </w:r>
      <w:r>
        <w:rPr/>
        <w:t>IETF</w:t>
      </w:r>
      <w:r>
        <w:rPr>
          <w:spacing w:val="-4"/>
        </w:rPr>
        <w:t> </w:t>
      </w:r>
      <w:r>
        <w:rPr/>
        <w:t>invites</w:t>
      </w:r>
      <w:r>
        <w:rPr>
          <w:spacing w:val="-4"/>
        </w:rPr>
        <w:t> </w:t>
      </w:r>
      <w:r>
        <w:rPr/>
        <w:t>any</w:t>
      </w:r>
      <w:r>
        <w:rPr>
          <w:spacing w:val="-4"/>
        </w:rPr>
        <w:t> </w:t>
      </w:r>
      <w:r>
        <w:rPr/>
        <w:t>interested</w:t>
      </w:r>
      <w:r>
        <w:rPr>
          <w:spacing w:val="-4"/>
        </w:rPr>
        <w:t> </w:t>
      </w:r>
      <w:r>
        <w:rPr/>
        <w:t>party</w:t>
      </w:r>
      <w:r>
        <w:rPr>
          <w:spacing w:val="-4"/>
        </w:rPr>
        <w:t> </w:t>
      </w:r>
      <w:r>
        <w:rPr/>
        <w:t>to</w:t>
      </w:r>
      <w:r>
        <w:rPr>
          <w:spacing w:val="-4"/>
        </w:rPr>
        <w:t> </w:t>
      </w:r>
      <w:r>
        <w:rPr/>
        <w:t>bring</w:t>
      </w:r>
      <w:r>
        <w:rPr>
          <w:spacing w:val="-4"/>
        </w:rPr>
        <w:t> </w:t>
      </w:r>
      <w:r>
        <w:rPr/>
        <w:t>to</w:t>
      </w:r>
      <w:r>
        <w:rPr>
          <w:spacing w:val="-4"/>
        </w:rPr>
        <w:t> </w:t>
      </w:r>
      <w:r>
        <w:rPr/>
        <w:t>its</w:t>
      </w:r>
      <w:r>
        <w:rPr>
          <w:spacing w:val="-4"/>
        </w:rPr>
        <w:t> </w:t>
      </w:r>
      <w:r>
        <w:rPr/>
        <w:t>attention</w:t>
      </w:r>
      <w:r>
        <w:rPr>
          <w:spacing w:val="-4"/>
        </w:rPr>
        <w:t> </w:t>
      </w:r>
      <w:r>
        <w:rPr/>
        <w:t>any copyrights, patents or patent applications, or other proprietary rights that may cover technology that may be required to implement this standard.</w:t>
      </w:r>
      <w:r>
        <w:rPr>
          <w:spacing w:val="80"/>
        </w:rPr>
        <w:t> </w:t>
      </w:r>
      <w:r>
        <w:rPr/>
        <w:t>Please address the information to the IETF at</w:t>
      </w:r>
    </w:p>
    <w:p>
      <w:pPr>
        <w:pStyle w:val="BodyText"/>
        <w:spacing w:line="223" w:lineRule="exact"/>
      </w:pPr>
      <w:hyperlink r:id="rId10">
        <w:r>
          <w:rPr>
            <w:spacing w:val="-2"/>
          </w:rPr>
          <w:t>ietf-ipr@ietf.org</w:t>
        </w:r>
      </w:hyperlink>
      <w:r>
        <w:rPr>
          <w:spacing w:val="-2"/>
        </w:rPr>
        <w:t>.</w:t>
      </w:r>
    </w:p>
    <w:p>
      <w:pPr>
        <w:pStyle w:val="BodyText"/>
        <w:spacing w:before="213"/>
        <w:ind w:left="160"/>
      </w:pPr>
      <w:r>
        <w:rPr>
          <w:spacing w:val="-2"/>
        </w:rPr>
        <w:t>Acknowledgement</w:t>
      </w:r>
    </w:p>
    <w:p>
      <w:pPr>
        <w:pStyle w:val="BodyText"/>
        <w:spacing w:line="232" w:lineRule="auto" w:before="219"/>
        <w:ind w:right="1342"/>
      </w:pPr>
      <w:r>
        <w:rPr/>
        <w:t>Funding</w:t>
      </w:r>
      <w:r>
        <w:rPr>
          <w:spacing w:val="-5"/>
        </w:rPr>
        <w:t> </w:t>
      </w:r>
      <w:r>
        <w:rPr/>
        <w:t>for</w:t>
      </w:r>
      <w:r>
        <w:rPr>
          <w:spacing w:val="-5"/>
        </w:rPr>
        <w:t> </w:t>
      </w:r>
      <w:r>
        <w:rPr/>
        <w:t>the</w:t>
      </w:r>
      <w:r>
        <w:rPr>
          <w:spacing w:val="-5"/>
        </w:rPr>
        <w:t> </w:t>
      </w:r>
      <w:r>
        <w:rPr/>
        <w:t>RFC</w:t>
      </w:r>
      <w:r>
        <w:rPr>
          <w:spacing w:val="-5"/>
        </w:rPr>
        <w:t> </w:t>
      </w:r>
      <w:r>
        <w:rPr/>
        <w:t>Editor</w:t>
      </w:r>
      <w:r>
        <w:rPr>
          <w:spacing w:val="-5"/>
        </w:rPr>
        <w:t> </w:t>
      </w:r>
      <w:r>
        <w:rPr/>
        <w:t>function</w:t>
      </w:r>
      <w:r>
        <w:rPr>
          <w:spacing w:val="-5"/>
        </w:rPr>
        <w:t> </w:t>
      </w:r>
      <w:r>
        <w:rPr/>
        <w:t>is</w:t>
      </w:r>
      <w:r>
        <w:rPr>
          <w:spacing w:val="-5"/>
        </w:rPr>
        <w:t> </w:t>
      </w:r>
      <w:r>
        <w:rPr/>
        <w:t>provided</w:t>
      </w:r>
      <w:r>
        <w:rPr>
          <w:spacing w:val="-5"/>
        </w:rPr>
        <w:t> </w:t>
      </w:r>
      <w:r>
        <w:rPr/>
        <w:t>by</w:t>
      </w:r>
      <w:r>
        <w:rPr>
          <w:spacing w:val="-5"/>
        </w:rPr>
        <w:t> </w:t>
      </w:r>
      <w:r>
        <w:rPr/>
        <w:t>the</w:t>
      </w:r>
      <w:r>
        <w:rPr>
          <w:spacing w:val="-5"/>
        </w:rPr>
        <w:t> </w:t>
      </w:r>
      <w:r>
        <w:rPr/>
        <w:t>IETF Administrative Support Activity (IASA).</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504384">
              <wp:simplePos x="0" y="0"/>
              <wp:positionH relativeFrom="page">
                <wp:posOffset>1003300</wp:posOffset>
              </wp:positionH>
              <wp:positionV relativeFrom="page">
                <wp:posOffset>8314370</wp:posOffset>
              </wp:positionV>
              <wp:extent cx="635000"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35000"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50pt;height:13.35pt;mso-position-horizontal-relative:page;mso-position-vertical-relative:page;z-index:-15812096" type="#_x0000_t202" id="docshape1"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7504896">
              <wp:simplePos x="0" y="0"/>
              <wp:positionH relativeFrom="page">
                <wp:posOffset>3136900</wp:posOffset>
              </wp:positionH>
              <wp:positionV relativeFrom="page">
                <wp:posOffset>8314370</wp:posOffset>
              </wp:positionV>
              <wp:extent cx="1168400"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54.674805pt;width:92pt;height:13.35pt;mso-position-horizontal-relative:page;mso-position-vertical-relative:page;z-index:-15811584" type="#_x0000_t202" id="docshape2"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505408">
              <wp:simplePos x="0" y="0"/>
              <wp:positionH relativeFrom="page">
                <wp:posOffset>5880100</wp:posOffset>
              </wp:positionH>
              <wp:positionV relativeFrom="page">
                <wp:posOffset>8314370</wp:posOffset>
              </wp:positionV>
              <wp:extent cx="635000"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000" cy="169545"/>
                      </a:xfrm>
                      <a:prstGeom prst="rect">
                        <a:avLst/>
                      </a:prstGeom>
                    </wps:spPr>
                    <wps:txbx>
                      <w:txbxContent>
                        <w:p>
                          <w:pPr>
                            <w:pStyle w:val="BodyText"/>
                            <w:spacing w:before="20"/>
                            <w:ind w:left="20"/>
                          </w:pPr>
                          <w:r>
                            <w:rPr/>
                            <w:t>[Page</w:t>
                          </w:r>
                          <w:r>
                            <w:rPr>
                              <w:spacing w:val="-5"/>
                            </w:rPr>
                            <w:t> 1]</w:t>
                          </w:r>
                        </w:p>
                      </w:txbxContent>
                    </wps:txbx>
                    <wps:bodyPr wrap="square" lIns="0" tIns="0" rIns="0" bIns="0" rtlCol="0">
                      <a:noAutofit/>
                    </wps:bodyPr>
                  </wps:wsp>
                </a:graphicData>
              </a:graphic>
            </wp:anchor>
          </w:drawing>
        </mc:Choice>
        <mc:Fallback>
          <w:pict>
            <v:shape style="position:absolute;margin-left:463.000031pt;margin-top:654.674805pt;width:50pt;height:13.35pt;mso-position-horizontal-relative:page;mso-position-vertical-relative:page;z-index:-15811072" type="#_x0000_t202" id="docshape3" filled="false" stroked="false">
              <v:textbox inset="0,0,0,0">
                <w:txbxContent>
                  <w:p>
                    <w:pPr>
                      <w:pStyle w:val="BodyText"/>
                      <w:spacing w:before="20"/>
                      <w:ind w:left="20"/>
                    </w:pPr>
                    <w:r>
                      <w:rPr/>
                      <w:t>[Page</w:t>
                    </w:r>
                    <w:r>
                      <w:rPr>
                        <w:spacing w:val="-5"/>
                      </w:rPr>
                      <w:t> 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507456">
              <wp:simplePos x="0" y="0"/>
              <wp:positionH relativeFrom="page">
                <wp:posOffset>1003300</wp:posOffset>
              </wp:positionH>
              <wp:positionV relativeFrom="page">
                <wp:posOffset>8034970</wp:posOffset>
              </wp:positionV>
              <wp:extent cx="635000"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35000"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 style="position:absolute;margin-left:79pt;margin-top:632.674805pt;width:50pt;height:13.35pt;mso-position-horizontal-relative:page;mso-position-vertical-relative:page;z-index:-15809024" type="#_x0000_t202" id="docshape7"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7507968">
              <wp:simplePos x="0" y="0"/>
              <wp:positionH relativeFrom="page">
                <wp:posOffset>3136900</wp:posOffset>
              </wp:positionH>
              <wp:positionV relativeFrom="page">
                <wp:posOffset>8034970</wp:posOffset>
              </wp:positionV>
              <wp:extent cx="1168400"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32.674805pt;width:92pt;height:13.35pt;mso-position-horizontal-relative:page;mso-position-vertical-relative:page;z-index:-15808512" type="#_x0000_t202" id="docshape8"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508480">
              <wp:simplePos x="0" y="0"/>
              <wp:positionH relativeFrom="page">
                <wp:posOffset>5880100</wp:posOffset>
              </wp:positionH>
              <wp:positionV relativeFrom="page">
                <wp:posOffset>8034970</wp:posOffset>
              </wp:positionV>
              <wp:extent cx="635000"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35000" cy="169545"/>
                      </a:xfrm>
                      <a:prstGeom prst="rect">
                        <a:avLst/>
                      </a:prstGeom>
                    </wps:spPr>
                    <wps:txbx>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63.000031pt;margin-top:632.674805pt;width:50pt;height:13.35pt;mso-position-horizontal-relative:page;mso-position-vertical-relative:page;z-index:-15808000" type="#_x0000_t202" id="docshape9" filled="false" stroked="false">
              <v:textbox inset="0,0,0,0">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505920">
              <wp:simplePos x="0" y="0"/>
              <wp:positionH relativeFrom="page">
                <wp:posOffset>1003300</wp:posOffset>
              </wp:positionH>
              <wp:positionV relativeFrom="page">
                <wp:posOffset>491170</wp:posOffset>
              </wp:positionV>
              <wp:extent cx="635000"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000" cy="169545"/>
                      </a:xfrm>
                      <a:prstGeom prst="rect">
                        <a:avLst/>
                      </a:prstGeom>
                    </wps:spPr>
                    <wps:txbx>
                      <w:txbxContent>
                        <w:p>
                          <w:pPr>
                            <w:pStyle w:val="BodyText"/>
                            <w:spacing w:before="20"/>
                            <w:ind w:left="20"/>
                          </w:pPr>
                          <w:r>
                            <w:rPr/>
                            <w:t>RFC</w:t>
                          </w:r>
                          <w:r>
                            <w:rPr>
                              <w:spacing w:val="-3"/>
                            </w:rPr>
                            <w:t> </w:t>
                          </w:r>
                          <w:r>
                            <w:rPr>
                              <w:spacing w:val="-4"/>
                            </w:rPr>
                            <w:t>4510</w:t>
                          </w:r>
                        </w:p>
                      </w:txbxContent>
                    </wps:txbx>
                    <wps:bodyPr wrap="square" lIns="0" tIns="0" rIns="0" bIns="0" rtlCol="0">
                      <a:noAutofit/>
                    </wps:bodyPr>
                  </wps:wsp>
                </a:graphicData>
              </a:graphic>
            </wp:anchor>
          </w:drawing>
        </mc:Choice>
        <mc:Fallback>
          <w:pict>
            <v:shape style="position:absolute;margin-left:79pt;margin-top:38.674805pt;width:50pt;height:13.35pt;mso-position-horizontal-relative:page;mso-position-vertical-relative:page;z-index:-15810560" type="#_x0000_t202" id="docshape4" filled="false" stroked="false">
              <v:textbox inset="0,0,0,0">
                <w:txbxContent>
                  <w:p>
                    <w:pPr>
                      <w:pStyle w:val="BodyText"/>
                      <w:spacing w:before="20"/>
                      <w:ind w:left="20"/>
                    </w:pPr>
                    <w:r>
                      <w:rPr/>
                      <w:t>RFC</w:t>
                    </w:r>
                    <w:r>
                      <w:rPr>
                        <w:spacing w:val="-3"/>
                      </w:rPr>
                      <w:t> </w:t>
                    </w:r>
                    <w:r>
                      <w:rPr>
                        <w:spacing w:val="-4"/>
                      </w:rPr>
                      <w:t>4510</w:t>
                    </w:r>
                  </w:p>
                </w:txbxContent>
              </v:textbox>
              <w10:wrap type="none"/>
            </v:shape>
          </w:pict>
        </mc:Fallback>
      </mc:AlternateContent>
    </w:r>
    <w:r>
      <w:rPr/>
      <mc:AlternateContent>
        <mc:Choice Requires="wps">
          <w:drawing>
            <wp:anchor distT="0" distB="0" distL="0" distR="0" allowOverlap="1" layoutInCell="1" locked="0" behindDoc="1" simplePos="0" relativeHeight="487506432">
              <wp:simplePos x="0" y="0"/>
              <wp:positionH relativeFrom="page">
                <wp:posOffset>3060700</wp:posOffset>
              </wp:positionH>
              <wp:positionV relativeFrom="page">
                <wp:posOffset>491170</wp:posOffset>
              </wp:positionV>
              <wp:extent cx="1320800"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320800" cy="169545"/>
                      </a:xfrm>
                      <a:prstGeom prst="rect">
                        <a:avLst/>
                      </a:prstGeom>
                    </wps:spPr>
                    <wps:txbx>
                      <w:txbxContent>
                        <w:p>
                          <w:pPr>
                            <w:pStyle w:val="BodyText"/>
                            <w:spacing w:before="20"/>
                            <w:ind w:left="20"/>
                          </w:pPr>
                          <w:r>
                            <w:rPr/>
                            <w:t>LDAP:</w:t>
                          </w:r>
                          <w:r>
                            <w:rPr>
                              <w:spacing w:val="-4"/>
                            </w:rPr>
                            <w:t> </w:t>
                          </w:r>
                          <w:r>
                            <w:rPr/>
                            <w:t>TS</w:t>
                          </w:r>
                          <w:r>
                            <w:rPr>
                              <w:spacing w:val="-4"/>
                            </w:rPr>
                            <w:t> </w:t>
                          </w:r>
                          <w:r>
                            <w:rPr/>
                            <w:t>Road</w:t>
                          </w:r>
                          <w:r>
                            <w:rPr>
                              <w:spacing w:val="-3"/>
                            </w:rPr>
                            <w:t> </w:t>
                          </w:r>
                          <w:r>
                            <w:rPr>
                              <w:spacing w:val="-5"/>
                            </w:rPr>
                            <w:t>Map</w:t>
                          </w:r>
                        </w:p>
                      </w:txbxContent>
                    </wps:txbx>
                    <wps:bodyPr wrap="square" lIns="0" tIns="0" rIns="0" bIns="0" rtlCol="0">
                      <a:noAutofit/>
                    </wps:bodyPr>
                  </wps:wsp>
                </a:graphicData>
              </a:graphic>
            </wp:anchor>
          </w:drawing>
        </mc:Choice>
        <mc:Fallback>
          <w:pict>
            <v:shape style="position:absolute;margin-left:241.000015pt;margin-top:38.674805pt;width:104pt;height:13.35pt;mso-position-horizontal-relative:page;mso-position-vertical-relative:page;z-index:-15810048" type="#_x0000_t202" id="docshape5" filled="false" stroked="false">
              <v:textbox inset="0,0,0,0">
                <w:txbxContent>
                  <w:p>
                    <w:pPr>
                      <w:pStyle w:val="BodyText"/>
                      <w:spacing w:before="20"/>
                      <w:ind w:left="20"/>
                    </w:pPr>
                    <w:r>
                      <w:rPr/>
                      <w:t>LDAP:</w:t>
                    </w:r>
                    <w:r>
                      <w:rPr>
                        <w:spacing w:val="-4"/>
                      </w:rPr>
                      <w:t> </w:t>
                    </w:r>
                    <w:r>
                      <w:rPr/>
                      <w:t>TS</w:t>
                    </w:r>
                    <w:r>
                      <w:rPr>
                        <w:spacing w:val="-4"/>
                      </w:rPr>
                      <w:t> </w:t>
                    </w:r>
                    <w:r>
                      <w:rPr/>
                      <w:t>Road</w:t>
                    </w:r>
                    <w:r>
                      <w:rPr>
                        <w:spacing w:val="-3"/>
                      </w:rPr>
                      <w:t> </w:t>
                    </w:r>
                    <w:r>
                      <w:rPr>
                        <w:spacing w:val="-5"/>
                      </w:rPr>
                      <w:t>Map</w:t>
                    </w:r>
                  </w:p>
                </w:txbxContent>
              </v:textbox>
              <w10:wrap type="none"/>
            </v:shape>
          </w:pict>
        </mc:Fallback>
      </mc:AlternateContent>
    </w:r>
    <w:r>
      <w:rPr/>
      <mc:AlternateContent>
        <mc:Choice Requires="wps">
          <w:drawing>
            <wp:anchor distT="0" distB="0" distL="0" distR="0" allowOverlap="1" layoutInCell="1" locked="0" behindDoc="1" simplePos="0" relativeHeight="487506944">
              <wp:simplePos x="0" y="0"/>
              <wp:positionH relativeFrom="page">
                <wp:posOffset>5803900</wp:posOffset>
              </wp:positionH>
              <wp:positionV relativeFrom="page">
                <wp:posOffset>491170</wp:posOffset>
              </wp:positionV>
              <wp:extent cx="711200"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11200" cy="169545"/>
                      </a:xfrm>
                      <a:prstGeom prst="rect">
                        <a:avLst/>
                      </a:prstGeom>
                    </wps:spPr>
                    <wps:txbx>
                      <w:txbxContent>
                        <w:p>
                          <w:pPr>
                            <w:pStyle w:val="BodyText"/>
                            <w:spacing w:before="20"/>
                            <w:ind w:left="20"/>
                          </w:pPr>
                          <w:r>
                            <w:rPr/>
                            <w:t>June</w:t>
                          </w:r>
                          <w:r>
                            <w:rPr>
                              <w:spacing w:val="-4"/>
                            </w:rPr>
                            <w:t> 2006</w:t>
                          </w:r>
                        </w:p>
                      </w:txbxContent>
                    </wps:txbx>
                    <wps:bodyPr wrap="square" lIns="0" tIns="0" rIns="0" bIns="0" rtlCol="0">
                      <a:noAutofit/>
                    </wps:bodyPr>
                  </wps:wsp>
                </a:graphicData>
              </a:graphic>
            </wp:anchor>
          </w:drawing>
        </mc:Choice>
        <mc:Fallback>
          <w:pict>
            <v:shape style="position:absolute;margin-left:457.000031pt;margin-top:38.674805pt;width:56pt;height:13.35pt;mso-position-horizontal-relative:page;mso-position-vertical-relative:page;z-index:-15809536" type="#_x0000_t202" id="docshape6" filled="false" stroked="false">
              <v:textbox inset="0,0,0,0">
                <w:txbxContent>
                  <w:p>
                    <w:pPr>
                      <w:pStyle w:val="BodyText"/>
                      <w:spacing w:before="20"/>
                      <w:ind w:left="20"/>
                    </w:pPr>
                    <w:r>
                      <w:rPr/>
                      <w:t>June</w:t>
                    </w:r>
                    <w:r>
                      <w:rPr>
                        <w:spacing w:val="-4"/>
                      </w:rPr>
                      <w:t> 2006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upperLetter"/>
      <w:lvlText w:val="%1"/>
      <w:lvlJc w:val="left"/>
      <w:pPr>
        <w:ind w:left="760" w:hanging="600"/>
        <w:jc w:val="left"/>
      </w:pPr>
      <w:rPr>
        <w:rFonts w:hint="default"/>
        <w:lang w:val="en-US" w:eastAsia="en-US" w:bidi="ar-SA"/>
      </w:rPr>
    </w:lvl>
    <w:lvl w:ilvl="1">
      <w:start w:val="1"/>
      <w:numFmt w:val="decimal"/>
      <w:lvlText w:val="%1.%2."/>
      <w:lvlJc w:val="left"/>
      <w:pPr>
        <w:ind w:left="760" w:hanging="60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2408" w:hanging="600"/>
      </w:pPr>
      <w:rPr>
        <w:rFonts w:hint="default"/>
        <w:lang w:val="en-US" w:eastAsia="en-US" w:bidi="ar-SA"/>
      </w:rPr>
    </w:lvl>
    <w:lvl w:ilvl="3">
      <w:start w:val="0"/>
      <w:numFmt w:val="bullet"/>
      <w:lvlText w:val="•"/>
      <w:lvlJc w:val="left"/>
      <w:pPr>
        <w:ind w:left="3232" w:hanging="600"/>
      </w:pPr>
      <w:rPr>
        <w:rFonts w:hint="default"/>
        <w:lang w:val="en-US" w:eastAsia="en-US" w:bidi="ar-SA"/>
      </w:rPr>
    </w:lvl>
    <w:lvl w:ilvl="4">
      <w:start w:val="0"/>
      <w:numFmt w:val="bullet"/>
      <w:lvlText w:val="•"/>
      <w:lvlJc w:val="left"/>
      <w:pPr>
        <w:ind w:left="4056" w:hanging="600"/>
      </w:pPr>
      <w:rPr>
        <w:rFonts w:hint="default"/>
        <w:lang w:val="en-US" w:eastAsia="en-US" w:bidi="ar-SA"/>
      </w:rPr>
    </w:lvl>
    <w:lvl w:ilvl="5">
      <w:start w:val="0"/>
      <w:numFmt w:val="bullet"/>
      <w:lvlText w:val="•"/>
      <w:lvlJc w:val="left"/>
      <w:pPr>
        <w:ind w:left="4880" w:hanging="600"/>
      </w:pPr>
      <w:rPr>
        <w:rFonts w:hint="default"/>
        <w:lang w:val="en-US" w:eastAsia="en-US" w:bidi="ar-SA"/>
      </w:rPr>
    </w:lvl>
    <w:lvl w:ilvl="6">
      <w:start w:val="0"/>
      <w:numFmt w:val="bullet"/>
      <w:lvlText w:val="•"/>
      <w:lvlJc w:val="left"/>
      <w:pPr>
        <w:ind w:left="5704" w:hanging="600"/>
      </w:pPr>
      <w:rPr>
        <w:rFonts w:hint="default"/>
        <w:lang w:val="en-US" w:eastAsia="en-US" w:bidi="ar-SA"/>
      </w:rPr>
    </w:lvl>
    <w:lvl w:ilvl="7">
      <w:start w:val="0"/>
      <w:numFmt w:val="bullet"/>
      <w:lvlText w:val="•"/>
      <w:lvlJc w:val="left"/>
      <w:pPr>
        <w:ind w:left="6528" w:hanging="600"/>
      </w:pPr>
      <w:rPr>
        <w:rFonts w:hint="default"/>
        <w:lang w:val="en-US" w:eastAsia="en-US" w:bidi="ar-SA"/>
      </w:rPr>
    </w:lvl>
    <w:lvl w:ilvl="8">
      <w:start w:val="0"/>
      <w:numFmt w:val="bullet"/>
      <w:lvlText w:val="•"/>
      <w:lvlJc w:val="left"/>
      <w:pPr>
        <w:ind w:left="7352" w:hanging="600"/>
      </w:pPr>
      <w:rPr>
        <w:rFonts w:hint="default"/>
        <w:lang w:val="en-US" w:eastAsia="en-US" w:bidi="ar-SA"/>
      </w:rPr>
    </w:lvl>
  </w:abstractNum>
  <w:abstractNum w:abstractNumId="0">
    <w:multiLevelType w:val="hybridMultilevel"/>
    <w:lvl w:ilvl="0">
      <w:start w:val="1"/>
      <w:numFmt w:val="decimal"/>
      <w:lvlText w:val="%1."/>
      <w:lvlJc w:val="left"/>
      <w:pPr>
        <w:ind w:left="640" w:hanging="48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1782" w:hanging="720"/>
      </w:pPr>
      <w:rPr>
        <w:rFonts w:hint="default"/>
        <w:lang w:val="en-US" w:eastAsia="en-US" w:bidi="ar-SA"/>
      </w:rPr>
    </w:lvl>
    <w:lvl w:ilvl="3">
      <w:start w:val="0"/>
      <w:numFmt w:val="bullet"/>
      <w:lvlText w:val="•"/>
      <w:lvlJc w:val="left"/>
      <w:pPr>
        <w:ind w:left="2684" w:hanging="720"/>
      </w:pPr>
      <w:rPr>
        <w:rFonts w:hint="default"/>
        <w:lang w:val="en-US" w:eastAsia="en-US" w:bidi="ar-SA"/>
      </w:rPr>
    </w:lvl>
    <w:lvl w:ilvl="4">
      <w:start w:val="0"/>
      <w:numFmt w:val="bullet"/>
      <w:lvlText w:val="•"/>
      <w:lvlJc w:val="left"/>
      <w:pPr>
        <w:ind w:left="3586" w:hanging="720"/>
      </w:pPr>
      <w:rPr>
        <w:rFonts w:hint="default"/>
        <w:lang w:val="en-US" w:eastAsia="en-US" w:bidi="ar-SA"/>
      </w:rPr>
    </w:lvl>
    <w:lvl w:ilvl="5">
      <w:start w:val="0"/>
      <w:numFmt w:val="bullet"/>
      <w:lvlText w:val="•"/>
      <w:lvlJc w:val="left"/>
      <w:pPr>
        <w:ind w:left="4488" w:hanging="720"/>
      </w:pPr>
      <w:rPr>
        <w:rFonts w:hint="default"/>
        <w:lang w:val="en-US" w:eastAsia="en-US" w:bidi="ar-SA"/>
      </w:rPr>
    </w:lvl>
    <w:lvl w:ilvl="6">
      <w:start w:val="0"/>
      <w:numFmt w:val="bullet"/>
      <w:lvlText w:val="•"/>
      <w:lvlJc w:val="left"/>
      <w:pPr>
        <w:ind w:left="5391" w:hanging="720"/>
      </w:pPr>
      <w:rPr>
        <w:rFonts w:hint="default"/>
        <w:lang w:val="en-US" w:eastAsia="en-US" w:bidi="ar-SA"/>
      </w:rPr>
    </w:lvl>
    <w:lvl w:ilvl="7">
      <w:start w:val="0"/>
      <w:numFmt w:val="bullet"/>
      <w:lvlText w:val="•"/>
      <w:lvlJc w:val="left"/>
      <w:pPr>
        <w:ind w:left="6293" w:hanging="720"/>
      </w:pPr>
      <w:rPr>
        <w:rFonts w:hint="default"/>
        <w:lang w:val="en-US" w:eastAsia="en-US" w:bidi="ar-SA"/>
      </w:rPr>
    </w:lvl>
    <w:lvl w:ilvl="8">
      <w:start w:val="0"/>
      <w:numFmt w:val="bullet"/>
      <w:lvlText w:val="•"/>
      <w:lvlJc w:val="left"/>
      <w:pPr>
        <w:ind w:left="7195" w:hanging="72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spacing w:before="216"/>
      <w:ind w:left="638" w:hanging="478"/>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Kurt@OpenLDAP.org" TargetMode="External"/><Relationship Id="rId9" Type="http://schemas.openxmlformats.org/officeDocument/2006/relationships/hyperlink" Target="http://www.ietf.org/ipr" TargetMode="External"/><Relationship Id="rId10" Type="http://schemas.openxmlformats.org/officeDocument/2006/relationships/hyperlink" Target="mailto:ietf-ipr@ietf.org"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RFC Editor</dc:creator>
  <dc:title>Enscript Output</dc:title>
  <dcterms:created xsi:type="dcterms:W3CDTF">2026-01-19T03:25:51Z</dcterms:created>
  <dcterms:modified xsi:type="dcterms:W3CDTF">2026-01-19T03:25:51Z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GNU enscript 1.6.1</vt:lpwstr>
  </property>
  <property fmtid="{D5CDD505-2E9C-101B-9397-08002B2CF9AE}" pid="4" name="Producer">
    <vt:lpwstr>GNU Ghostscript 7.05</vt:lpwstr>
  </property>
  <property fmtid="{D5CDD505-2E9C-101B-9397-08002B2CF9AE}" pid="5" name="LastSaved">
    <vt:filetime>2026-01-19T00:00:00Z</vt:filetime>
  </property>
</Properties>
</file>