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7599" w:val="left" w:leader="none"/>
        </w:tabs>
        <w:spacing w:line="223" w:lineRule="exact" w:before="73"/>
        <w:ind w:left="160"/>
      </w:pPr>
      <w:r>
        <w:rPr/>
        <w:t>Network</w:t>
      </w:r>
      <w:r>
        <w:rPr>
          <w:spacing w:val="-7"/>
        </w:rPr>
        <w:t> </w:t>
      </w:r>
      <w:r>
        <w:rPr/>
        <w:t>Working</w:t>
      </w:r>
      <w:r>
        <w:rPr>
          <w:spacing w:val="-7"/>
        </w:rPr>
        <w:t> </w:t>
      </w:r>
      <w:r>
        <w:rPr>
          <w:spacing w:val="-2"/>
        </w:rPr>
        <w:t>Group</w:t>
      </w:r>
      <w:r>
        <w:rPr/>
        <w:tab/>
        <w:t>R.</w:t>
      </w:r>
      <w:r>
        <w:rPr>
          <w:spacing w:val="-4"/>
        </w:rPr>
        <w:t> </w:t>
      </w:r>
      <w:r>
        <w:rPr>
          <w:spacing w:val="-2"/>
        </w:rPr>
        <w:t>Weltman</w:t>
      </w:r>
    </w:p>
    <w:p>
      <w:pPr>
        <w:pStyle w:val="BodyText"/>
        <w:tabs>
          <w:tab w:pos="7359" w:val="left" w:leader="none"/>
        </w:tabs>
        <w:spacing w:line="220" w:lineRule="exact" w:before="0"/>
        <w:ind w:left="160"/>
      </w:pPr>
      <w:r>
        <w:rPr/>
        <w:t>Request</w:t>
      </w:r>
      <w:r>
        <w:rPr>
          <w:spacing w:val="-7"/>
        </w:rPr>
        <w:t> </w:t>
      </w:r>
      <w:r>
        <w:rPr/>
        <w:t>for</w:t>
      </w:r>
      <w:r>
        <w:rPr>
          <w:spacing w:val="-6"/>
        </w:rPr>
        <w:t> </w:t>
      </w:r>
      <w:r>
        <w:rPr/>
        <w:t>Comments:</w:t>
      </w:r>
      <w:r>
        <w:rPr>
          <w:spacing w:val="-6"/>
        </w:rPr>
        <w:t> </w:t>
      </w:r>
      <w:r>
        <w:rPr>
          <w:spacing w:val="-4"/>
        </w:rPr>
        <w:t>4370</w:t>
      </w:r>
      <w:r>
        <w:rPr/>
        <w:tab/>
        <w:t>Yahoo!,</w:t>
      </w:r>
      <w:r>
        <w:rPr>
          <w:spacing w:val="-9"/>
        </w:rPr>
        <w:t> </w:t>
      </w:r>
      <w:r>
        <w:rPr>
          <w:spacing w:val="-4"/>
        </w:rPr>
        <w:t>Inc.</w:t>
      </w:r>
    </w:p>
    <w:p>
      <w:pPr>
        <w:pStyle w:val="BodyText"/>
        <w:tabs>
          <w:tab w:pos="7239" w:val="left" w:leader="none"/>
        </w:tabs>
        <w:spacing w:line="223" w:lineRule="exact" w:before="0"/>
        <w:ind w:left="160"/>
      </w:pPr>
      <w:r>
        <w:rPr/>
        <w:t>Category:</w:t>
      </w:r>
      <w:r>
        <w:rPr>
          <w:spacing w:val="-9"/>
        </w:rPr>
        <w:t> </w:t>
      </w:r>
      <w:r>
        <w:rPr/>
        <w:t>Standards</w:t>
      </w:r>
      <w:r>
        <w:rPr>
          <w:spacing w:val="-9"/>
        </w:rPr>
        <w:t> </w:t>
      </w:r>
      <w:r>
        <w:rPr>
          <w:spacing w:val="-2"/>
        </w:rPr>
        <w:t>Track</w:t>
      </w:r>
      <w:r>
        <w:rPr/>
        <w:tab/>
        <w:t>February</w:t>
      </w:r>
      <w:r>
        <w:rPr>
          <w:spacing w:val="-8"/>
        </w:rPr>
        <w:t> </w:t>
      </w:r>
      <w:r>
        <w:rPr>
          <w:spacing w:val="-4"/>
        </w:rPr>
        <w:t>2006</w:t>
      </w:r>
    </w:p>
    <w:p>
      <w:pPr>
        <w:pStyle w:val="BodyText"/>
        <w:spacing w:before="212"/>
        <w:ind w:left="0"/>
      </w:pPr>
    </w:p>
    <w:p>
      <w:pPr>
        <w:pStyle w:val="BodyText"/>
        <w:spacing w:line="232" w:lineRule="auto" w:before="0"/>
        <w:ind w:left="2680" w:right="1223" w:hanging="960"/>
      </w:pPr>
      <w:r>
        <w:rPr/>
        <w:t>Lightweight</w:t>
      </w:r>
      <w:r>
        <w:rPr>
          <w:spacing w:val="-11"/>
        </w:rPr>
        <w:t> </w:t>
      </w:r>
      <w:r>
        <w:rPr/>
        <w:t>Directory</w:t>
      </w:r>
      <w:r>
        <w:rPr>
          <w:spacing w:val="-11"/>
        </w:rPr>
        <w:t> </w:t>
      </w:r>
      <w:r>
        <w:rPr/>
        <w:t>Access</w:t>
      </w:r>
      <w:r>
        <w:rPr>
          <w:spacing w:val="-11"/>
        </w:rPr>
        <w:t> </w:t>
      </w:r>
      <w:r>
        <w:rPr/>
        <w:t>Protocol</w:t>
      </w:r>
      <w:r>
        <w:rPr>
          <w:spacing w:val="-11"/>
        </w:rPr>
        <w:t> </w:t>
      </w:r>
      <w:r>
        <w:rPr/>
        <w:t>(LDAP) Proxied Authorization Control</w:t>
      </w:r>
    </w:p>
    <w:p>
      <w:pPr>
        <w:pStyle w:val="BodyText"/>
        <w:spacing w:before="216"/>
        <w:ind w:left="160"/>
      </w:pPr>
      <w:r>
        <w:rPr/>
        <w:t>Status</w:t>
      </w:r>
      <w:r>
        <w:rPr>
          <w:spacing w:val="-4"/>
        </w:rPr>
        <w:t> </w:t>
      </w:r>
      <w:r>
        <w:rPr/>
        <w:t>of</w:t>
      </w:r>
      <w:r>
        <w:rPr>
          <w:spacing w:val="-4"/>
        </w:rPr>
        <w:t> </w:t>
      </w:r>
      <w:r>
        <w:rPr/>
        <w:t>This</w:t>
      </w:r>
      <w:r>
        <w:rPr>
          <w:spacing w:val="-4"/>
        </w:rPr>
        <w:t> Memo</w:t>
      </w:r>
    </w:p>
    <w:p>
      <w:pPr>
        <w:pStyle w:val="BodyText"/>
        <w:spacing w:line="232" w:lineRule="auto" w:before="218"/>
        <w:ind w:right="199"/>
      </w:pPr>
      <w:r>
        <w:rPr/>
        <w:t>This document specifies an Internet standards track protocol for the Internet community, and requests discussion and suggestions for improvements.</w:t>
      </w:r>
      <w:r>
        <w:rPr>
          <w:spacing w:val="80"/>
        </w:rPr>
        <w:t> </w:t>
      </w:r>
      <w:r>
        <w:rPr/>
        <w:t>Please refer to the current edition of the "Internet Official Protocol Standards" (STD 1) for the standardization state and</w:t>
      </w:r>
      <w:r>
        <w:rPr>
          <w:spacing w:val="-4"/>
        </w:rPr>
        <w:t> </w:t>
      </w:r>
      <w:r>
        <w:rPr/>
        <w:t>status</w:t>
      </w:r>
      <w:r>
        <w:rPr>
          <w:spacing w:val="-4"/>
        </w:rPr>
        <w:t> </w:t>
      </w:r>
      <w:r>
        <w:rPr/>
        <w:t>of</w:t>
      </w:r>
      <w:r>
        <w:rPr>
          <w:spacing w:val="-4"/>
        </w:rPr>
        <w:t> </w:t>
      </w:r>
      <w:r>
        <w:rPr/>
        <w:t>this</w:t>
      </w:r>
      <w:r>
        <w:rPr>
          <w:spacing w:val="-4"/>
        </w:rPr>
        <w:t> </w:t>
      </w:r>
      <w:r>
        <w:rPr/>
        <w:t>protocol.</w:t>
      </w:r>
      <w:r>
        <w:rPr>
          <w:spacing w:val="80"/>
        </w:rPr>
        <w:t> </w:t>
      </w:r>
      <w:r>
        <w:rPr/>
        <w:t>Distribution</w:t>
      </w:r>
      <w:r>
        <w:rPr>
          <w:spacing w:val="-4"/>
        </w:rPr>
        <w:t> </w:t>
      </w:r>
      <w:r>
        <w:rPr/>
        <w:t>of</w:t>
      </w:r>
      <w:r>
        <w:rPr>
          <w:spacing w:val="-4"/>
        </w:rPr>
        <w:t> </w:t>
      </w:r>
      <w:r>
        <w:rPr/>
        <w:t>this</w:t>
      </w:r>
      <w:r>
        <w:rPr>
          <w:spacing w:val="-4"/>
        </w:rPr>
        <w:t> </w:t>
      </w:r>
      <w:r>
        <w:rPr/>
        <w:t>memo</w:t>
      </w:r>
      <w:r>
        <w:rPr>
          <w:spacing w:val="-4"/>
        </w:rPr>
        <w:t> </w:t>
      </w:r>
      <w:r>
        <w:rPr/>
        <w:t>is</w:t>
      </w:r>
      <w:r>
        <w:rPr>
          <w:spacing w:val="-4"/>
        </w:rPr>
        <w:t> </w:t>
      </w:r>
      <w:r>
        <w:rPr/>
        <w:t>unlimited.</w:t>
      </w:r>
    </w:p>
    <w:p>
      <w:pPr>
        <w:pStyle w:val="BodyText"/>
        <w:spacing w:before="216"/>
        <w:ind w:left="160"/>
      </w:pPr>
      <w:r>
        <w:rPr/>
        <w:t>Copyright</w:t>
      </w:r>
      <w:r>
        <w:rPr>
          <w:spacing w:val="-9"/>
        </w:rPr>
        <w:t> </w:t>
      </w:r>
      <w:r>
        <w:rPr>
          <w:spacing w:val="-2"/>
        </w:rPr>
        <w:t>Notice</w:t>
      </w:r>
    </w:p>
    <w:p>
      <w:pPr>
        <w:pStyle w:val="BodyText"/>
        <w:spacing w:before="214"/>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before="213"/>
        <w:ind w:left="160"/>
      </w:pPr>
      <w:r>
        <w:rPr>
          <w:spacing w:val="-2"/>
        </w:rPr>
        <w:t>Abstract</w:t>
      </w:r>
    </w:p>
    <w:p>
      <w:pPr>
        <w:pStyle w:val="BodyText"/>
        <w:spacing w:line="232" w:lineRule="auto" w:before="218"/>
        <w:ind w:right="266"/>
      </w:pPr>
      <w:r>
        <w:rPr/>
        <w:t>This document defines the Lightweight Directory Access Protocol (LDAP)</w:t>
      </w:r>
      <w:r>
        <w:rPr>
          <w:spacing w:val="-6"/>
        </w:rPr>
        <w:t> </w:t>
      </w:r>
      <w:r>
        <w:rPr/>
        <w:t>Proxy</w:t>
      </w:r>
      <w:r>
        <w:rPr>
          <w:spacing w:val="-6"/>
        </w:rPr>
        <w:t> </w:t>
      </w:r>
      <w:r>
        <w:rPr/>
        <w:t>Authorization</w:t>
      </w:r>
      <w:r>
        <w:rPr>
          <w:spacing w:val="-6"/>
        </w:rPr>
        <w:t> </w:t>
      </w:r>
      <w:r>
        <w:rPr/>
        <w:t>Control.</w:t>
      </w:r>
      <w:r>
        <w:rPr>
          <w:spacing w:val="80"/>
        </w:rPr>
        <w:t> </w:t>
      </w:r>
      <w:r>
        <w:rPr/>
        <w:t>The</w:t>
      </w:r>
      <w:r>
        <w:rPr>
          <w:spacing w:val="-6"/>
        </w:rPr>
        <w:t> </w:t>
      </w:r>
      <w:r>
        <w:rPr/>
        <w:t>Proxy</w:t>
      </w:r>
      <w:r>
        <w:rPr>
          <w:spacing w:val="-6"/>
        </w:rPr>
        <w:t> </w:t>
      </w:r>
      <w:r>
        <w:rPr/>
        <w:t>Authorization</w:t>
      </w:r>
      <w:r>
        <w:rPr>
          <w:spacing w:val="-6"/>
        </w:rPr>
        <w:t> </w:t>
      </w:r>
      <w:r>
        <w:rPr/>
        <w:t>Control allows a client to request that an operation be processed under a provided authorization identity instead of under the current authorization identity associated with the connection.</w:t>
      </w:r>
    </w:p>
    <w:p>
      <w:pPr>
        <w:pStyle w:val="ListParagraph"/>
        <w:numPr>
          <w:ilvl w:val="0"/>
          <w:numId w:val="1"/>
        </w:numPr>
        <w:tabs>
          <w:tab w:pos="638" w:val="left" w:leader="none"/>
        </w:tabs>
        <w:spacing w:line="240" w:lineRule="auto" w:before="217" w:after="0"/>
        <w:ind w:left="638" w:right="0" w:hanging="478"/>
        <w:jc w:val="left"/>
        <w:rPr>
          <w:sz w:val="20"/>
        </w:rPr>
      </w:pPr>
      <w:r>
        <w:rPr>
          <w:spacing w:val="-2"/>
          <w:sz w:val="20"/>
        </w:rPr>
        <w:t>Introduction</w:t>
      </w:r>
    </w:p>
    <w:p>
      <w:pPr>
        <w:pStyle w:val="BodyText"/>
        <w:spacing w:line="232" w:lineRule="auto" w:before="218"/>
        <w:ind w:right="266"/>
      </w:pPr>
      <w:r>
        <w:rPr/>
        <w:t>Proxy</w:t>
      </w:r>
      <w:r>
        <w:rPr>
          <w:spacing w:val="-5"/>
        </w:rPr>
        <w:t> </w:t>
      </w:r>
      <w:r>
        <w:rPr/>
        <w:t>authorization</w:t>
      </w:r>
      <w:r>
        <w:rPr>
          <w:spacing w:val="-5"/>
        </w:rPr>
        <w:t> </w:t>
      </w:r>
      <w:r>
        <w:rPr/>
        <w:t>allows</w:t>
      </w:r>
      <w:r>
        <w:rPr>
          <w:spacing w:val="-5"/>
        </w:rPr>
        <w:t> </w:t>
      </w:r>
      <w:r>
        <w:rPr/>
        <w:t>a</w:t>
      </w:r>
      <w:r>
        <w:rPr>
          <w:spacing w:val="-5"/>
        </w:rPr>
        <w:t> </w:t>
      </w:r>
      <w:r>
        <w:rPr/>
        <w:t>client</w:t>
      </w:r>
      <w:r>
        <w:rPr>
          <w:spacing w:val="-5"/>
        </w:rPr>
        <w:t> </w:t>
      </w:r>
      <w:r>
        <w:rPr/>
        <w:t>to</w:t>
      </w:r>
      <w:r>
        <w:rPr>
          <w:spacing w:val="-5"/>
        </w:rPr>
        <w:t> </w:t>
      </w:r>
      <w:r>
        <w:rPr/>
        <w:t>request</w:t>
      </w:r>
      <w:r>
        <w:rPr>
          <w:spacing w:val="-5"/>
        </w:rPr>
        <w:t> </w:t>
      </w:r>
      <w:r>
        <w:rPr/>
        <w:t>that</w:t>
      </w:r>
      <w:r>
        <w:rPr>
          <w:spacing w:val="-5"/>
        </w:rPr>
        <w:t> </w:t>
      </w:r>
      <w:r>
        <w:rPr/>
        <w:t>an</w:t>
      </w:r>
      <w:r>
        <w:rPr>
          <w:spacing w:val="-5"/>
        </w:rPr>
        <w:t> </w:t>
      </w:r>
      <w:r>
        <w:rPr/>
        <w:t>operation</w:t>
      </w:r>
      <w:r>
        <w:rPr>
          <w:spacing w:val="-5"/>
        </w:rPr>
        <w:t> </w:t>
      </w:r>
      <w:r>
        <w:rPr/>
        <w:t>be processed under a provided authorization identity instead of under the current authorization identity associated with the connection. This document defines support for proxy authorization using the Control mechanism [RFC2251].</w:t>
      </w:r>
      <w:r>
        <w:rPr>
          <w:spacing w:val="80"/>
        </w:rPr>
        <w:t> </w:t>
      </w:r>
      <w:r>
        <w:rPr/>
        <w:t>The Lightweight Directory Access Protocol</w:t>
      </w:r>
      <w:r>
        <w:rPr>
          <w:spacing w:val="-5"/>
        </w:rPr>
        <w:t> </w:t>
      </w:r>
      <w:r>
        <w:rPr/>
        <w:t>[LDAPV3]</w:t>
      </w:r>
      <w:r>
        <w:rPr>
          <w:spacing w:val="-5"/>
        </w:rPr>
        <w:t> </w:t>
      </w:r>
      <w:r>
        <w:rPr/>
        <w:t>supports</w:t>
      </w:r>
      <w:r>
        <w:rPr>
          <w:spacing w:val="-5"/>
        </w:rPr>
        <w:t> </w:t>
      </w:r>
      <w:r>
        <w:rPr/>
        <w:t>the</w:t>
      </w:r>
      <w:r>
        <w:rPr>
          <w:spacing w:val="-5"/>
        </w:rPr>
        <w:t> </w:t>
      </w:r>
      <w:r>
        <w:rPr/>
        <w:t>use</w:t>
      </w:r>
      <w:r>
        <w:rPr>
          <w:spacing w:val="-5"/>
        </w:rPr>
        <w:t> </w:t>
      </w:r>
      <w:r>
        <w:rPr/>
        <w:t>of</w:t>
      </w:r>
      <w:r>
        <w:rPr>
          <w:spacing w:val="-5"/>
        </w:rPr>
        <w:t> </w:t>
      </w:r>
      <w:r>
        <w:rPr/>
        <w:t>the</w:t>
      </w:r>
      <w:r>
        <w:rPr>
          <w:spacing w:val="-5"/>
        </w:rPr>
        <w:t> </w:t>
      </w:r>
      <w:r>
        <w:rPr/>
        <w:t>Simple</w:t>
      </w:r>
      <w:r>
        <w:rPr>
          <w:spacing w:val="-5"/>
        </w:rPr>
        <w:t> </w:t>
      </w:r>
      <w:r>
        <w:rPr/>
        <w:t>Authentication</w:t>
      </w:r>
      <w:r>
        <w:rPr>
          <w:spacing w:val="-5"/>
        </w:rPr>
        <w:t> </w:t>
      </w:r>
      <w:r>
        <w:rPr/>
        <w:t>and Security Layer [SASL] for authentication and for supplying an authorization identity distinct from the authentication identity, where</w:t>
      </w:r>
      <w:r>
        <w:rPr>
          <w:spacing w:val="-5"/>
        </w:rPr>
        <w:t> </w:t>
      </w:r>
      <w:r>
        <w:rPr/>
        <w:t>the</w:t>
      </w:r>
      <w:r>
        <w:rPr>
          <w:spacing w:val="-5"/>
        </w:rPr>
        <w:t> </w:t>
      </w:r>
      <w:r>
        <w:rPr/>
        <w:t>authorization</w:t>
      </w:r>
      <w:r>
        <w:rPr>
          <w:spacing w:val="-5"/>
        </w:rPr>
        <w:t> </w:t>
      </w:r>
      <w:r>
        <w:rPr/>
        <w:t>identity</w:t>
      </w:r>
      <w:r>
        <w:rPr>
          <w:spacing w:val="-5"/>
        </w:rPr>
        <w:t> </w:t>
      </w:r>
      <w:r>
        <w:rPr/>
        <w:t>applies</w:t>
      </w:r>
      <w:r>
        <w:rPr>
          <w:spacing w:val="-5"/>
        </w:rPr>
        <w:t> </w:t>
      </w:r>
      <w:r>
        <w:rPr/>
        <w:t>to</w:t>
      </w:r>
      <w:r>
        <w:rPr>
          <w:spacing w:val="-5"/>
        </w:rPr>
        <w:t> </w:t>
      </w:r>
      <w:r>
        <w:rPr/>
        <w:t>the</w:t>
      </w:r>
      <w:r>
        <w:rPr>
          <w:spacing w:val="-5"/>
        </w:rPr>
        <w:t> </w:t>
      </w:r>
      <w:r>
        <w:rPr/>
        <w:t>whole</w:t>
      </w:r>
      <w:r>
        <w:rPr>
          <w:spacing w:val="-5"/>
        </w:rPr>
        <w:t> </w:t>
      </w:r>
      <w:r>
        <w:rPr/>
        <w:t>LDAP</w:t>
      </w:r>
      <w:r>
        <w:rPr>
          <w:spacing w:val="-5"/>
        </w:rPr>
        <w:t> </w:t>
      </w:r>
      <w:r>
        <w:rPr/>
        <w:t>session. The</w:t>
      </w:r>
      <w:r>
        <w:rPr>
          <w:spacing w:val="-6"/>
        </w:rPr>
        <w:t> </w:t>
      </w:r>
      <w:r>
        <w:rPr/>
        <w:t>Proxy</w:t>
      </w:r>
      <w:r>
        <w:rPr>
          <w:spacing w:val="-6"/>
        </w:rPr>
        <w:t> </w:t>
      </w:r>
      <w:r>
        <w:rPr/>
        <w:t>Authorization</w:t>
      </w:r>
      <w:r>
        <w:rPr>
          <w:spacing w:val="-6"/>
        </w:rPr>
        <w:t> </w:t>
      </w:r>
      <w:r>
        <w:rPr/>
        <w:t>Control</w:t>
      </w:r>
      <w:r>
        <w:rPr>
          <w:spacing w:val="-6"/>
        </w:rPr>
        <w:t> </w:t>
      </w:r>
      <w:r>
        <w:rPr/>
        <w:t>provides</w:t>
      </w:r>
      <w:r>
        <w:rPr>
          <w:spacing w:val="-6"/>
        </w:rPr>
        <w:t> </w:t>
      </w:r>
      <w:r>
        <w:rPr/>
        <w:t>a</w:t>
      </w:r>
      <w:r>
        <w:rPr>
          <w:spacing w:val="-6"/>
        </w:rPr>
        <w:t> </w:t>
      </w:r>
      <w:r>
        <w:rPr/>
        <w:t>mechanism</w:t>
      </w:r>
      <w:r>
        <w:rPr>
          <w:spacing w:val="-6"/>
        </w:rPr>
        <w:t> </w:t>
      </w:r>
      <w:r>
        <w:rPr/>
        <w:t>for</w:t>
      </w:r>
      <w:r>
        <w:rPr>
          <w:spacing w:val="-6"/>
        </w:rPr>
        <w:t> </w:t>
      </w:r>
      <w:r>
        <w:rPr/>
        <w:t>specifying an authorization identity on a per-operation basis, benefiting clients that need to perform operations efficiently on behalf of multiple users.</w:t>
      </w:r>
    </w:p>
    <w:p>
      <w:pPr>
        <w:pStyle w:val="BodyText"/>
        <w:spacing w:line="223" w:lineRule="exact" w:before="218"/>
      </w:pPr>
      <w:r>
        <w:rPr/>
        <w:t>The</w:t>
      </w:r>
      <w:r>
        <w:rPr>
          <w:spacing w:val="-8"/>
        </w:rPr>
        <w:t> </w:t>
      </w:r>
      <w:r>
        <w:rPr/>
        <w:t>key</w:t>
      </w:r>
      <w:r>
        <w:rPr>
          <w:spacing w:val="-5"/>
        </w:rPr>
        <w:t> </w:t>
      </w:r>
      <w:r>
        <w:rPr/>
        <w:t>words</w:t>
      </w:r>
      <w:r>
        <w:rPr>
          <w:spacing w:val="-5"/>
        </w:rPr>
        <w:t> </w:t>
      </w:r>
      <w:r>
        <w:rPr/>
        <w:t>"MUST",</w:t>
      </w:r>
      <w:r>
        <w:rPr>
          <w:spacing w:val="-5"/>
        </w:rPr>
        <w:t> </w:t>
      </w:r>
      <w:r>
        <w:rPr/>
        <w:t>"MUST</w:t>
      </w:r>
      <w:r>
        <w:rPr>
          <w:spacing w:val="-5"/>
        </w:rPr>
        <w:t> </w:t>
      </w:r>
      <w:r>
        <w:rPr/>
        <w:t>NOT",</w:t>
      </w:r>
      <w:r>
        <w:rPr>
          <w:spacing w:val="-6"/>
        </w:rPr>
        <w:t> </w:t>
      </w:r>
      <w:r>
        <w:rPr/>
        <w:t>"SHOULD",</w:t>
      </w:r>
      <w:r>
        <w:rPr>
          <w:spacing w:val="-5"/>
        </w:rPr>
        <w:t> </w:t>
      </w:r>
      <w:r>
        <w:rPr/>
        <w:t>"SHOULD</w:t>
      </w:r>
      <w:r>
        <w:rPr>
          <w:spacing w:val="-5"/>
        </w:rPr>
        <w:t> </w:t>
      </w:r>
      <w:r>
        <w:rPr/>
        <w:t>NOT",</w:t>
      </w:r>
      <w:r>
        <w:rPr>
          <w:spacing w:val="-5"/>
        </w:rPr>
        <w:t> </w:t>
      </w:r>
      <w:r>
        <w:rPr/>
        <w:t>and</w:t>
      </w:r>
      <w:r>
        <w:rPr>
          <w:spacing w:val="-5"/>
        </w:rPr>
        <w:t> </w:t>
      </w:r>
      <w:r>
        <w:rPr>
          <w:spacing w:val="-2"/>
        </w:rPr>
        <w:t>"MAY"</w:t>
      </w:r>
    </w:p>
    <w:p>
      <w:pPr>
        <w:pStyle w:val="BodyText"/>
        <w:spacing w:line="232" w:lineRule="auto" w:before="2"/>
        <w:ind w:right="1223"/>
      </w:pPr>
      <w:r>
        <w:rPr/>
        <w:t>used</w:t>
      </w:r>
      <w:r>
        <w:rPr>
          <w:spacing w:val="-5"/>
        </w:rPr>
        <w:t> </w:t>
      </w:r>
      <w:r>
        <w:rPr/>
        <w:t>in</w:t>
      </w:r>
      <w:r>
        <w:rPr>
          <w:spacing w:val="-5"/>
        </w:rPr>
        <w:t> </w:t>
      </w:r>
      <w:r>
        <w:rPr/>
        <w:t>this</w:t>
      </w:r>
      <w:r>
        <w:rPr>
          <w:spacing w:val="-5"/>
        </w:rPr>
        <w:t> </w:t>
      </w:r>
      <w:r>
        <w:rPr/>
        <w:t>document</w:t>
      </w:r>
      <w:r>
        <w:rPr>
          <w:spacing w:val="-5"/>
        </w:rPr>
        <w:t> </w:t>
      </w:r>
      <w:r>
        <w:rPr/>
        <w:t>are</w:t>
      </w:r>
      <w:r>
        <w:rPr>
          <w:spacing w:val="-5"/>
        </w:rPr>
        <w:t> </w:t>
      </w:r>
      <w:r>
        <w:rPr/>
        <w:t>to</w:t>
      </w:r>
      <w:r>
        <w:rPr>
          <w:spacing w:val="-5"/>
        </w:rPr>
        <w:t> </w:t>
      </w:r>
      <w:r>
        <w:rPr/>
        <w:t>be</w:t>
      </w:r>
      <w:r>
        <w:rPr>
          <w:spacing w:val="-5"/>
        </w:rPr>
        <w:t> </w:t>
      </w:r>
      <w:r>
        <w:rPr/>
        <w:t>interpreted</w:t>
      </w:r>
      <w:r>
        <w:rPr>
          <w:spacing w:val="-5"/>
        </w:rPr>
        <w:t> </w:t>
      </w:r>
      <w:r>
        <w:rPr/>
        <w:t>as</w:t>
      </w:r>
      <w:r>
        <w:rPr>
          <w:spacing w:val="-5"/>
        </w:rPr>
        <w:t> </w:t>
      </w:r>
      <w:r>
        <w:rPr/>
        <w:t>described</w:t>
      </w:r>
      <w:r>
        <w:rPr>
          <w:spacing w:val="-5"/>
        </w:rPr>
        <w:t> </w:t>
      </w:r>
      <w:r>
        <w:rPr/>
        <w:t>in </w:t>
      </w:r>
      <w:r>
        <w:rPr>
          <w:spacing w:val="-2"/>
        </w:rPr>
        <w:t>[KEYWORDS].</w:t>
      </w:r>
    </w:p>
    <w:p>
      <w:pPr>
        <w:pStyle w:val="BodyText"/>
        <w:spacing w:after="0" w:line="232" w:lineRule="auto"/>
        <w:sectPr>
          <w:footerReference w:type="default" r:id="rId5"/>
          <w:type w:val="continuous"/>
          <w:pgSz w:w="12240" w:h="15840"/>
          <w:pgMar w:header="0" w:footer="2527" w:top="1820" w:bottom="2720" w:left="1440" w:right="1800"/>
          <w:pgNumType w:start="1"/>
        </w:sectPr>
      </w:pPr>
    </w:p>
    <w:p>
      <w:pPr>
        <w:pStyle w:val="ListParagraph"/>
        <w:numPr>
          <w:ilvl w:val="0"/>
          <w:numId w:val="1"/>
        </w:numPr>
        <w:tabs>
          <w:tab w:pos="638" w:val="left" w:leader="none"/>
        </w:tabs>
        <w:spacing w:line="240" w:lineRule="auto" w:before="90" w:after="0"/>
        <w:ind w:left="638" w:right="0" w:hanging="478"/>
        <w:jc w:val="left"/>
        <w:rPr>
          <w:sz w:val="20"/>
        </w:rPr>
      </w:pPr>
      <w:r>
        <w:rPr>
          <w:sz w:val="20"/>
        </w:rPr>
        <w:t>Publishing</w:t>
      </w:r>
      <w:r>
        <w:rPr>
          <w:spacing w:val="-7"/>
          <w:sz w:val="20"/>
        </w:rPr>
        <w:t> </w:t>
      </w:r>
      <w:r>
        <w:rPr>
          <w:sz w:val="20"/>
        </w:rPr>
        <w:t>Support</w:t>
      </w:r>
      <w:r>
        <w:rPr>
          <w:spacing w:val="-7"/>
          <w:sz w:val="20"/>
        </w:rPr>
        <w:t> </w:t>
      </w:r>
      <w:r>
        <w:rPr>
          <w:sz w:val="20"/>
        </w:rPr>
        <w:t>for</w:t>
      </w:r>
      <w:r>
        <w:rPr>
          <w:spacing w:val="-7"/>
          <w:sz w:val="20"/>
        </w:rPr>
        <w:t> </w:t>
      </w:r>
      <w:r>
        <w:rPr>
          <w:sz w:val="20"/>
        </w:rPr>
        <w:t>the</w:t>
      </w:r>
      <w:r>
        <w:rPr>
          <w:spacing w:val="-7"/>
          <w:sz w:val="20"/>
        </w:rPr>
        <w:t> </w:t>
      </w:r>
      <w:r>
        <w:rPr>
          <w:sz w:val="20"/>
        </w:rPr>
        <w:t>Proxy</w:t>
      </w:r>
      <w:r>
        <w:rPr>
          <w:spacing w:val="-7"/>
          <w:sz w:val="20"/>
        </w:rPr>
        <w:t> </w:t>
      </w:r>
      <w:r>
        <w:rPr>
          <w:sz w:val="20"/>
        </w:rPr>
        <w:t>Authorization</w:t>
      </w:r>
      <w:r>
        <w:rPr>
          <w:spacing w:val="-6"/>
          <w:sz w:val="20"/>
        </w:rPr>
        <w:t> </w:t>
      </w:r>
      <w:r>
        <w:rPr>
          <w:spacing w:val="-2"/>
          <w:sz w:val="20"/>
        </w:rPr>
        <w:t>Control</w:t>
      </w:r>
    </w:p>
    <w:p>
      <w:pPr>
        <w:pStyle w:val="BodyText"/>
        <w:spacing w:line="232" w:lineRule="auto" w:before="218"/>
        <w:ind w:right="199"/>
      </w:pPr>
      <w:r>
        <w:rPr/>
        <w:t>Support for the Proxy Authorization Control is indicated by the presence</w:t>
      </w:r>
      <w:r>
        <w:rPr>
          <w:spacing w:val="-6"/>
        </w:rPr>
        <w:t> </w:t>
      </w:r>
      <w:r>
        <w:rPr/>
        <w:t>of</w:t>
      </w:r>
      <w:r>
        <w:rPr>
          <w:spacing w:val="-6"/>
        </w:rPr>
        <w:t> </w:t>
      </w:r>
      <w:r>
        <w:rPr/>
        <w:t>the</w:t>
      </w:r>
      <w:r>
        <w:rPr>
          <w:spacing w:val="-6"/>
        </w:rPr>
        <w:t> </w:t>
      </w:r>
      <w:r>
        <w:rPr/>
        <w:t>Object</w:t>
      </w:r>
      <w:r>
        <w:rPr>
          <w:spacing w:val="-6"/>
        </w:rPr>
        <w:t> </w:t>
      </w:r>
      <w:r>
        <w:rPr/>
        <w:t>Identifier</w:t>
      </w:r>
      <w:r>
        <w:rPr>
          <w:spacing w:val="-6"/>
        </w:rPr>
        <w:t> </w:t>
      </w:r>
      <w:r>
        <w:rPr/>
        <w:t>(OID)</w:t>
      </w:r>
      <w:r>
        <w:rPr>
          <w:spacing w:val="-6"/>
        </w:rPr>
        <w:t> </w:t>
      </w:r>
      <w:r>
        <w:rPr/>
        <w:t>"2.16.840.1.113730.3.4.18"</w:t>
      </w:r>
      <w:r>
        <w:rPr>
          <w:spacing w:val="-6"/>
        </w:rPr>
        <w:t> </w:t>
      </w:r>
      <w:r>
        <w:rPr/>
        <w:t>in the supportedControl attribute [RFC2252] of a server’s root</w:t>
      </w:r>
    </w:p>
    <w:p>
      <w:pPr>
        <w:pStyle w:val="BodyText"/>
        <w:spacing w:line="222" w:lineRule="exact" w:before="0"/>
      </w:pPr>
      <w:r>
        <w:rPr/>
        <w:t>DSA-specific</w:t>
      </w:r>
      <w:r>
        <w:rPr>
          <w:spacing w:val="-9"/>
        </w:rPr>
        <w:t> </w:t>
      </w:r>
      <w:r>
        <w:rPr/>
        <w:t>Entry</w:t>
      </w:r>
      <w:r>
        <w:rPr>
          <w:spacing w:val="-8"/>
        </w:rPr>
        <w:t> </w:t>
      </w:r>
      <w:r>
        <w:rPr>
          <w:spacing w:val="-2"/>
        </w:rPr>
        <w:t>(DSE).</w:t>
      </w:r>
    </w:p>
    <w:p>
      <w:pPr>
        <w:pStyle w:val="ListParagraph"/>
        <w:numPr>
          <w:ilvl w:val="0"/>
          <w:numId w:val="1"/>
        </w:numPr>
        <w:tabs>
          <w:tab w:pos="638" w:val="left" w:leader="none"/>
        </w:tabs>
        <w:spacing w:line="240" w:lineRule="auto" w:before="214" w:after="0"/>
        <w:ind w:left="638" w:right="0" w:hanging="478"/>
        <w:jc w:val="left"/>
        <w:rPr>
          <w:sz w:val="20"/>
        </w:rPr>
      </w:pPr>
      <w:r>
        <w:rPr>
          <w:sz w:val="20"/>
        </w:rPr>
        <w:t>Proxy</w:t>
      </w:r>
      <w:r>
        <w:rPr>
          <w:spacing w:val="-9"/>
          <w:sz w:val="20"/>
        </w:rPr>
        <w:t> </w:t>
      </w:r>
      <w:r>
        <w:rPr>
          <w:sz w:val="20"/>
        </w:rPr>
        <w:t>Authorization</w:t>
      </w:r>
      <w:r>
        <w:rPr>
          <w:spacing w:val="-9"/>
          <w:sz w:val="20"/>
        </w:rPr>
        <w:t> </w:t>
      </w:r>
      <w:r>
        <w:rPr>
          <w:spacing w:val="-2"/>
          <w:sz w:val="20"/>
        </w:rPr>
        <w:t>Control</w:t>
      </w:r>
    </w:p>
    <w:p>
      <w:pPr>
        <w:pStyle w:val="BodyText"/>
        <w:spacing w:line="232" w:lineRule="auto" w:before="218"/>
        <w:ind w:right="199"/>
      </w:pPr>
      <w:r>
        <w:rPr/>
        <w:t>A single Proxy Authorization Control may be included in any search, compare, modify, add, delete, or modify Distinguished Name (DN) or extended operation request message.</w:t>
      </w:r>
      <w:r>
        <w:rPr>
          <w:spacing w:val="80"/>
        </w:rPr>
        <w:t> </w:t>
      </w:r>
      <w:r>
        <w:rPr/>
        <w:t>The exception is any extension that causes a change in authentication, authorization, or data confidentiality</w:t>
      </w:r>
      <w:r>
        <w:rPr>
          <w:spacing w:val="-5"/>
        </w:rPr>
        <w:t> </w:t>
      </w:r>
      <w:r>
        <w:rPr/>
        <w:t>[RFC2829],</w:t>
      </w:r>
      <w:r>
        <w:rPr>
          <w:spacing w:val="-5"/>
        </w:rPr>
        <w:t> </w:t>
      </w:r>
      <w:r>
        <w:rPr/>
        <w:t>such</w:t>
      </w:r>
      <w:r>
        <w:rPr>
          <w:spacing w:val="-5"/>
        </w:rPr>
        <w:t> </w:t>
      </w:r>
      <w:r>
        <w:rPr/>
        <w:t>as</w:t>
      </w:r>
      <w:r>
        <w:rPr>
          <w:spacing w:val="-5"/>
        </w:rPr>
        <w:t> </w:t>
      </w:r>
      <w:r>
        <w:rPr/>
        <w:t>Start</w:t>
      </w:r>
      <w:r>
        <w:rPr>
          <w:spacing w:val="-5"/>
        </w:rPr>
        <w:t> </w:t>
      </w:r>
      <w:r>
        <w:rPr/>
        <w:t>TLS</w:t>
      </w:r>
      <w:r>
        <w:rPr>
          <w:spacing w:val="-5"/>
        </w:rPr>
        <w:t> </w:t>
      </w:r>
      <w:r>
        <w:rPr/>
        <w:t>[LDAPTLS]</w:t>
      </w:r>
      <w:r>
        <w:rPr>
          <w:spacing w:val="-5"/>
        </w:rPr>
        <w:t> </w:t>
      </w:r>
      <w:r>
        <w:rPr/>
        <w:t>as</w:t>
      </w:r>
      <w:r>
        <w:rPr>
          <w:spacing w:val="-5"/>
        </w:rPr>
        <w:t> </w:t>
      </w:r>
      <w:r>
        <w:rPr/>
        <w:t>part</w:t>
      </w:r>
      <w:r>
        <w:rPr>
          <w:spacing w:val="-5"/>
        </w:rPr>
        <w:t> </w:t>
      </w:r>
      <w:r>
        <w:rPr/>
        <w:t>of</w:t>
      </w:r>
      <w:r>
        <w:rPr>
          <w:spacing w:val="-5"/>
        </w:rPr>
        <w:t> </w:t>
      </w:r>
      <w:r>
        <w:rPr/>
        <w:t>the controls field of the LDAPMessage, as defined in [RFC2251].</w:t>
      </w:r>
    </w:p>
    <w:p>
      <w:pPr>
        <w:pStyle w:val="BodyText"/>
        <w:spacing w:line="232" w:lineRule="auto"/>
      </w:pPr>
      <w:r>
        <w:rPr/>
        <w:t>The</w:t>
      </w:r>
      <w:r>
        <w:rPr>
          <w:spacing w:val="-6"/>
        </w:rPr>
        <w:t> </w:t>
      </w:r>
      <w:r>
        <w:rPr/>
        <w:t>controlType</w:t>
      </w:r>
      <w:r>
        <w:rPr>
          <w:spacing w:val="-6"/>
        </w:rPr>
        <w:t> </w:t>
      </w:r>
      <w:r>
        <w:rPr/>
        <w:t>of</w:t>
      </w:r>
      <w:r>
        <w:rPr>
          <w:spacing w:val="-6"/>
        </w:rPr>
        <w:t> </w:t>
      </w:r>
      <w:r>
        <w:rPr/>
        <w:t>the</w:t>
      </w:r>
      <w:r>
        <w:rPr>
          <w:spacing w:val="-6"/>
        </w:rPr>
        <w:t> </w:t>
      </w:r>
      <w:r>
        <w:rPr/>
        <w:t>proxy</w:t>
      </w:r>
      <w:r>
        <w:rPr>
          <w:spacing w:val="-6"/>
        </w:rPr>
        <w:t> </w:t>
      </w:r>
      <w:r>
        <w:rPr/>
        <w:t>authorization</w:t>
      </w:r>
      <w:r>
        <w:rPr>
          <w:spacing w:val="-6"/>
        </w:rPr>
        <w:t> </w:t>
      </w:r>
      <w:r>
        <w:rPr/>
        <w:t>control</w:t>
      </w:r>
      <w:r>
        <w:rPr>
          <w:spacing w:val="-6"/>
        </w:rPr>
        <w:t> </w:t>
      </w:r>
      <w:r>
        <w:rPr/>
        <w:t>is </w:t>
      </w:r>
      <w:r>
        <w:rPr>
          <w:spacing w:val="-2"/>
        </w:rPr>
        <w:t>"2.16.840.1.113730.3.4.18".</w:t>
      </w:r>
    </w:p>
    <w:p>
      <w:pPr>
        <w:pStyle w:val="BodyText"/>
        <w:spacing w:line="232" w:lineRule="auto"/>
        <w:ind w:right="439"/>
        <w:jc w:val="both"/>
      </w:pPr>
      <w:r>
        <w:rPr/>
        <w:t>The</w:t>
      </w:r>
      <w:r>
        <w:rPr>
          <w:spacing w:val="-4"/>
        </w:rPr>
        <w:t> </w:t>
      </w:r>
      <w:r>
        <w:rPr/>
        <w:t>criticality</w:t>
      </w:r>
      <w:r>
        <w:rPr>
          <w:spacing w:val="-4"/>
        </w:rPr>
        <w:t> </w:t>
      </w:r>
      <w:r>
        <w:rPr/>
        <w:t>MUST</w:t>
      </w:r>
      <w:r>
        <w:rPr>
          <w:spacing w:val="-4"/>
        </w:rPr>
        <w:t> </w:t>
      </w:r>
      <w:r>
        <w:rPr/>
        <w:t>be</w:t>
      </w:r>
      <w:r>
        <w:rPr>
          <w:spacing w:val="-4"/>
        </w:rPr>
        <w:t> </w:t>
      </w:r>
      <w:r>
        <w:rPr/>
        <w:t>present</w:t>
      </w:r>
      <w:r>
        <w:rPr>
          <w:spacing w:val="-4"/>
        </w:rPr>
        <w:t> </w:t>
      </w:r>
      <w:r>
        <w:rPr/>
        <w:t>and</w:t>
      </w:r>
      <w:r>
        <w:rPr>
          <w:spacing w:val="-4"/>
        </w:rPr>
        <w:t> </w:t>
      </w:r>
      <w:r>
        <w:rPr/>
        <w:t>MUST</w:t>
      </w:r>
      <w:r>
        <w:rPr>
          <w:spacing w:val="-4"/>
        </w:rPr>
        <w:t> </w:t>
      </w:r>
      <w:r>
        <w:rPr/>
        <w:t>be</w:t>
      </w:r>
      <w:r>
        <w:rPr>
          <w:spacing w:val="-4"/>
        </w:rPr>
        <w:t> </w:t>
      </w:r>
      <w:r>
        <w:rPr/>
        <w:t>TRUE.</w:t>
      </w:r>
      <w:r>
        <w:rPr>
          <w:spacing w:val="80"/>
        </w:rPr>
        <w:t> </w:t>
      </w:r>
      <w:r>
        <w:rPr/>
        <w:t>This</w:t>
      </w:r>
      <w:r>
        <w:rPr>
          <w:spacing w:val="-4"/>
        </w:rPr>
        <w:t> </w:t>
      </w:r>
      <w:r>
        <w:rPr/>
        <w:t>requirement protects</w:t>
      </w:r>
      <w:r>
        <w:rPr>
          <w:spacing w:val="-5"/>
        </w:rPr>
        <w:t> </w:t>
      </w:r>
      <w:r>
        <w:rPr/>
        <w:t>clients</w:t>
      </w:r>
      <w:r>
        <w:rPr>
          <w:spacing w:val="-5"/>
        </w:rPr>
        <w:t> </w:t>
      </w:r>
      <w:r>
        <w:rPr/>
        <w:t>from</w:t>
      </w:r>
      <w:r>
        <w:rPr>
          <w:spacing w:val="-5"/>
        </w:rPr>
        <w:t> </w:t>
      </w:r>
      <w:r>
        <w:rPr/>
        <w:t>submitting</w:t>
      </w:r>
      <w:r>
        <w:rPr>
          <w:spacing w:val="-5"/>
        </w:rPr>
        <w:t> </w:t>
      </w:r>
      <w:r>
        <w:rPr/>
        <w:t>a</w:t>
      </w:r>
      <w:r>
        <w:rPr>
          <w:spacing w:val="-5"/>
        </w:rPr>
        <w:t> </w:t>
      </w:r>
      <w:r>
        <w:rPr/>
        <w:t>request</w:t>
      </w:r>
      <w:r>
        <w:rPr>
          <w:spacing w:val="-5"/>
        </w:rPr>
        <w:t> </w:t>
      </w:r>
      <w:r>
        <w:rPr/>
        <w:t>that</w:t>
      </w:r>
      <w:r>
        <w:rPr>
          <w:spacing w:val="-5"/>
        </w:rPr>
        <w:t> </w:t>
      </w:r>
      <w:r>
        <w:rPr/>
        <w:t>is</w:t>
      </w:r>
      <w:r>
        <w:rPr>
          <w:spacing w:val="-5"/>
        </w:rPr>
        <w:t> </w:t>
      </w:r>
      <w:r>
        <w:rPr/>
        <w:t>executed</w:t>
      </w:r>
      <w:r>
        <w:rPr>
          <w:spacing w:val="-5"/>
        </w:rPr>
        <w:t> </w:t>
      </w:r>
      <w:r>
        <w:rPr/>
        <w:t>with</w:t>
      </w:r>
      <w:r>
        <w:rPr>
          <w:spacing w:val="-5"/>
        </w:rPr>
        <w:t> </w:t>
      </w:r>
      <w:r>
        <w:rPr/>
        <w:t>an unintended authorization identity.</w:t>
      </w:r>
    </w:p>
    <w:p>
      <w:pPr>
        <w:pStyle w:val="BodyText"/>
        <w:spacing w:line="232" w:lineRule="auto"/>
        <w:ind w:right="199"/>
      </w:pPr>
      <w:r>
        <w:rPr/>
        <w:t>Clients MUST include the criticality flag and MUST set it to TRUE. Servers MUST reject any request containing a Proxy Authorization Control</w:t>
      </w:r>
      <w:r>
        <w:rPr>
          <w:spacing w:val="-4"/>
        </w:rPr>
        <w:t> </w:t>
      </w:r>
      <w:r>
        <w:rPr/>
        <w:t>without</w:t>
      </w:r>
      <w:r>
        <w:rPr>
          <w:spacing w:val="-4"/>
        </w:rPr>
        <w:t> </w:t>
      </w:r>
      <w:r>
        <w:rPr/>
        <w:t>a</w:t>
      </w:r>
      <w:r>
        <w:rPr>
          <w:spacing w:val="-4"/>
        </w:rPr>
        <w:t> </w:t>
      </w:r>
      <w:r>
        <w:rPr/>
        <w:t>criticality</w:t>
      </w:r>
      <w:r>
        <w:rPr>
          <w:spacing w:val="-4"/>
        </w:rPr>
        <w:t> </w:t>
      </w:r>
      <w:r>
        <w:rPr/>
        <w:t>flag</w:t>
      </w:r>
      <w:r>
        <w:rPr>
          <w:spacing w:val="-4"/>
        </w:rPr>
        <w:t> </w:t>
      </w:r>
      <w:r>
        <w:rPr/>
        <w:t>or</w:t>
      </w:r>
      <w:r>
        <w:rPr>
          <w:spacing w:val="-4"/>
        </w:rPr>
        <w:t> </w:t>
      </w:r>
      <w:r>
        <w:rPr/>
        <w:t>with</w:t>
      </w:r>
      <w:r>
        <w:rPr>
          <w:spacing w:val="-4"/>
        </w:rPr>
        <w:t> </w:t>
      </w:r>
      <w:r>
        <w:rPr/>
        <w:t>the</w:t>
      </w:r>
      <w:r>
        <w:rPr>
          <w:spacing w:val="-4"/>
        </w:rPr>
        <w:t> </w:t>
      </w:r>
      <w:r>
        <w:rPr/>
        <w:t>flag</w:t>
      </w:r>
      <w:r>
        <w:rPr>
          <w:spacing w:val="-4"/>
        </w:rPr>
        <w:t> </w:t>
      </w:r>
      <w:r>
        <w:rPr/>
        <w:t>set</w:t>
      </w:r>
      <w:r>
        <w:rPr>
          <w:spacing w:val="-4"/>
        </w:rPr>
        <w:t> </w:t>
      </w:r>
      <w:r>
        <w:rPr/>
        <w:t>to</w:t>
      </w:r>
      <w:r>
        <w:rPr>
          <w:spacing w:val="-4"/>
        </w:rPr>
        <w:t> </w:t>
      </w:r>
      <w:r>
        <w:rPr/>
        <w:t>FALSE</w:t>
      </w:r>
      <w:r>
        <w:rPr>
          <w:spacing w:val="-4"/>
        </w:rPr>
        <w:t> </w:t>
      </w:r>
      <w:r>
        <w:rPr/>
        <w:t>with a protocolError error.</w:t>
      </w:r>
      <w:r>
        <w:rPr>
          <w:spacing w:val="80"/>
        </w:rPr>
        <w:t> </w:t>
      </w:r>
      <w:r>
        <w:rPr/>
        <w:t>These requirements protect clients from submitting a request that is executed with an unintended authorization identity.</w:t>
      </w:r>
    </w:p>
    <w:p>
      <w:pPr>
        <w:pStyle w:val="BodyText"/>
        <w:spacing w:line="232" w:lineRule="auto"/>
        <w:ind w:right="199"/>
      </w:pPr>
      <w:r>
        <w:rPr/>
        <w:t>The</w:t>
      </w:r>
      <w:r>
        <w:rPr>
          <w:spacing w:val="-5"/>
        </w:rPr>
        <w:t> </w:t>
      </w:r>
      <w:r>
        <w:rPr/>
        <w:t>controlValue</w:t>
      </w:r>
      <w:r>
        <w:rPr>
          <w:spacing w:val="-5"/>
        </w:rPr>
        <w:t> </w:t>
      </w:r>
      <w:r>
        <w:rPr/>
        <w:t>SHALL</w:t>
      </w:r>
      <w:r>
        <w:rPr>
          <w:spacing w:val="-5"/>
        </w:rPr>
        <w:t> </w:t>
      </w:r>
      <w:r>
        <w:rPr/>
        <w:t>be</w:t>
      </w:r>
      <w:r>
        <w:rPr>
          <w:spacing w:val="-5"/>
        </w:rPr>
        <w:t> </w:t>
      </w:r>
      <w:r>
        <w:rPr/>
        <w:t>present</w:t>
      </w:r>
      <w:r>
        <w:rPr>
          <w:spacing w:val="-5"/>
        </w:rPr>
        <w:t> </w:t>
      </w:r>
      <w:r>
        <w:rPr/>
        <w:t>and</w:t>
      </w:r>
      <w:r>
        <w:rPr>
          <w:spacing w:val="-5"/>
        </w:rPr>
        <w:t> </w:t>
      </w:r>
      <w:r>
        <w:rPr/>
        <w:t>SHALL</w:t>
      </w:r>
      <w:r>
        <w:rPr>
          <w:spacing w:val="-5"/>
        </w:rPr>
        <w:t> </w:t>
      </w:r>
      <w:r>
        <w:rPr/>
        <w:t>either</w:t>
      </w:r>
      <w:r>
        <w:rPr>
          <w:spacing w:val="-5"/>
        </w:rPr>
        <w:t> </w:t>
      </w:r>
      <w:r>
        <w:rPr/>
        <w:t>contain</w:t>
      </w:r>
      <w:r>
        <w:rPr>
          <w:spacing w:val="-5"/>
        </w:rPr>
        <w:t> </w:t>
      </w:r>
      <w:r>
        <w:rPr/>
        <w:t>an</w:t>
      </w:r>
      <w:r>
        <w:rPr>
          <w:spacing w:val="-5"/>
        </w:rPr>
        <w:t> </w:t>
      </w:r>
      <w:r>
        <w:rPr/>
        <w:t>authzId [AUTH] representing the authorization identity for the request or be empty if an anonymous association is to be used.</w:t>
      </w:r>
    </w:p>
    <w:p>
      <w:pPr>
        <w:pStyle w:val="BodyText"/>
        <w:spacing w:line="232" w:lineRule="auto"/>
      </w:pPr>
      <w:r>
        <w:rPr/>
        <w:t>The</w:t>
      </w:r>
      <w:r>
        <w:rPr>
          <w:spacing w:val="-5"/>
        </w:rPr>
        <w:t> </w:t>
      </w:r>
      <w:r>
        <w:rPr/>
        <w:t>mechanism</w:t>
      </w:r>
      <w:r>
        <w:rPr>
          <w:spacing w:val="-5"/>
        </w:rPr>
        <w:t> </w:t>
      </w:r>
      <w:r>
        <w:rPr/>
        <w:t>for</w:t>
      </w:r>
      <w:r>
        <w:rPr>
          <w:spacing w:val="-5"/>
        </w:rPr>
        <w:t> </w:t>
      </w:r>
      <w:r>
        <w:rPr/>
        <w:t>determining</w:t>
      </w:r>
      <w:r>
        <w:rPr>
          <w:spacing w:val="-5"/>
        </w:rPr>
        <w:t> </w:t>
      </w:r>
      <w:r>
        <w:rPr/>
        <w:t>proxy</w:t>
      </w:r>
      <w:r>
        <w:rPr>
          <w:spacing w:val="-5"/>
        </w:rPr>
        <w:t> </w:t>
      </w:r>
      <w:r>
        <w:rPr/>
        <w:t>access</w:t>
      </w:r>
      <w:r>
        <w:rPr>
          <w:spacing w:val="-5"/>
        </w:rPr>
        <w:t> </w:t>
      </w:r>
      <w:r>
        <w:rPr/>
        <w:t>rights</w:t>
      </w:r>
      <w:r>
        <w:rPr>
          <w:spacing w:val="-5"/>
        </w:rPr>
        <w:t> </w:t>
      </w:r>
      <w:r>
        <w:rPr/>
        <w:t>is</w:t>
      </w:r>
      <w:r>
        <w:rPr>
          <w:spacing w:val="-5"/>
        </w:rPr>
        <w:t> </w:t>
      </w:r>
      <w:r>
        <w:rPr/>
        <w:t>specific</w:t>
      </w:r>
      <w:r>
        <w:rPr>
          <w:spacing w:val="-5"/>
        </w:rPr>
        <w:t> </w:t>
      </w:r>
      <w:r>
        <w:rPr/>
        <w:t>to</w:t>
      </w:r>
      <w:r>
        <w:rPr>
          <w:spacing w:val="-5"/>
        </w:rPr>
        <w:t> </w:t>
      </w:r>
      <w:r>
        <w:rPr/>
        <w:t>the server’s proxy authorization policy.</w:t>
      </w:r>
    </w:p>
    <w:p>
      <w:pPr>
        <w:pStyle w:val="BodyText"/>
        <w:spacing w:line="232" w:lineRule="auto" w:before="220"/>
        <w:ind w:right="266"/>
      </w:pPr>
      <w:r>
        <w:rPr/>
        <w:t>If</w:t>
      </w:r>
      <w:r>
        <w:rPr>
          <w:spacing w:val="-5"/>
        </w:rPr>
        <w:t> </w:t>
      </w:r>
      <w:r>
        <w:rPr/>
        <w:t>the</w:t>
      </w:r>
      <w:r>
        <w:rPr>
          <w:spacing w:val="-5"/>
        </w:rPr>
        <w:t> </w:t>
      </w:r>
      <w:r>
        <w:rPr/>
        <w:t>requested</w:t>
      </w:r>
      <w:r>
        <w:rPr>
          <w:spacing w:val="-5"/>
        </w:rPr>
        <w:t> </w:t>
      </w:r>
      <w:r>
        <w:rPr/>
        <w:t>authorization</w:t>
      </w:r>
      <w:r>
        <w:rPr>
          <w:spacing w:val="-5"/>
        </w:rPr>
        <w:t> </w:t>
      </w:r>
      <w:r>
        <w:rPr/>
        <w:t>identity</w:t>
      </w:r>
      <w:r>
        <w:rPr>
          <w:spacing w:val="-5"/>
        </w:rPr>
        <w:t> </w:t>
      </w:r>
      <w:r>
        <w:rPr/>
        <w:t>is</w:t>
      </w:r>
      <w:r>
        <w:rPr>
          <w:spacing w:val="-5"/>
        </w:rPr>
        <w:t> </w:t>
      </w:r>
      <w:r>
        <w:rPr/>
        <w:t>recognized</w:t>
      </w:r>
      <w:r>
        <w:rPr>
          <w:spacing w:val="-5"/>
        </w:rPr>
        <w:t> </w:t>
      </w:r>
      <w:r>
        <w:rPr/>
        <w:t>by</w:t>
      </w:r>
      <w:r>
        <w:rPr>
          <w:spacing w:val="-5"/>
        </w:rPr>
        <w:t> </w:t>
      </w:r>
      <w:r>
        <w:rPr/>
        <w:t>the</w:t>
      </w:r>
      <w:r>
        <w:rPr>
          <w:spacing w:val="-5"/>
        </w:rPr>
        <w:t> </w:t>
      </w:r>
      <w:r>
        <w:rPr/>
        <w:t>server, and the client is authorized to adopt the requested authorization identity, the request will be executed as if submitted by the proxy authorization identity; otherwise, the result code 123 is returned.</w:t>
      </w:r>
    </w:p>
    <w:p>
      <w:pPr>
        <w:pStyle w:val="ListParagraph"/>
        <w:numPr>
          <w:ilvl w:val="0"/>
          <w:numId w:val="1"/>
        </w:numPr>
        <w:tabs>
          <w:tab w:pos="638" w:val="left" w:leader="none"/>
        </w:tabs>
        <w:spacing w:line="240" w:lineRule="auto" w:before="216" w:after="0"/>
        <w:ind w:left="638" w:right="0" w:hanging="478"/>
        <w:jc w:val="left"/>
        <w:rPr>
          <w:sz w:val="20"/>
        </w:rPr>
      </w:pPr>
      <w:r>
        <w:rPr>
          <w:sz w:val="20"/>
        </w:rPr>
        <w:t>Implementation</w:t>
      </w:r>
      <w:r>
        <w:rPr>
          <w:spacing w:val="-14"/>
          <w:sz w:val="20"/>
        </w:rPr>
        <w:t> </w:t>
      </w:r>
      <w:r>
        <w:rPr>
          <w:spacing w:val="-2"/>
          <w:sz w:val="20"/>
        </w:rPr>
        <w:t>Considerations</w:t>
      </w:r>
    </w:p>
    <w:p>
      <w:pPr>
        <w:pStyle w:val="BodyText"/>
        <w:spacing w:line="232" w:lineRule="auto" w:before="219"/>
        <w:ind w:right="266"/>
      </w:pPr>
      <w:r>
        <w:rPr/>
        <w:t>One possible interaction of proxy authorization and normal access control</w:t>
      </w:r>
      <w:r>
        <w:rPr>
          <w:spacing w:val="-5"/>
        </w:rPr>
        <w:t> </w:t>
      </w:r>
      <w:r>
        <w:rPr/>
        <w:t>is</w:t>
      </w:r>
      <w:r>
        <w:rPr>
          <w:spacing w:val="-5"/>
        </w:rPr>
        <w:t> </w:t>
      </w:r>
      <w:r>
        <w:rPr/>
        <w:t>illustrated</w:t>
      </w:r>
      <w:r>
        <w:rPr>
          <w:spacing w:val="-5"/>
        </w:rPr>
        <w:t> </w:t>
      </w:r>
      <w:r>
        <w:rPr/>
        <w:t>here.</w:t>
      </w:r>
      <w:r>
        <w:rPr>
          <w:spacing w:val="80"/>
        </w:rPr>
        <w:t> </w:t>
      </w:r>
      <w:r>
        <w:rPr/>
        <w:t>During</w:t>
      </w:r>
      <w:r>
        <w:rPr>
          <w:spacing w:val="-5"/>
        </w:rPr>
        <w:t> </w:t>
      </w:r>
      <w:r>
        <w:rPr/>
        <w:t>evaluation</w:t>
      </w:r>
      <w:r>
        <w:rPr>
          <w:spacing w:val="-5"/>
        </w:rPr>
        <w:t> </w:t>
      </w:r>
      <w:r>
        <w:rPr/>
        <w:t>of</w:t>
      </w:r>
      <w:r>
        <w:rPr>
          <w:spacing w:val="-5"/>
        </w:rPr>
        <w:t> </w:t>
      </w:r>
      <w:r>
        <w:rPr/>
        <w:t>a</w:t>
      </w:r>
      <w:r>
        <w:rPr>
          <w:spacing w:val="-5"/>
        </w:rPr>
        <w:t> </w:t>
      </w:r>
      <w:r>
        <w:rPr/>
        <w:t>search</w:t>
      </w:r>
      <w:r>
        <w:rPr>
          <w:spacing w:val="-5"/>
        </w:rPr>
        <w:t> </w:t>
      </w:r>
      <w:r>
        <w:rPr/>
        <w:t>request, an entry that would have been returned for the search (if submitted by</w:t>
      </w:r>
      <w:r>
        <w:rPr>
          <w:spacing w:val="-5"/>
        </w:rPr>
        <w:t> </w:t>
      </w:r>
      <w:r>
        <w:rPr/>
        <w:t>the</w:t>
      </w:r>
      <w:r>
        <w:rPr>
          <w:spacing w:val="-5"/>
        </w:rPr>
        <w:t> </w:t>
      </w:r>
      <w:r>
        <w:rPr/>
        <w:t>proxy</w:t>
      </w:r>
      <w:r>
        <w:rPr>
          <w:spacing w:val="-5"/>
        </w:rPr>
        <w:t> </w:t>
      </w:r>
      <w:r>
        <w:rPr/>
        <w:t>authorization</w:t>
      </w:r>
      <w:r>
        <w:rPr>
          <w:spacing w:val="-5"/>
        </w:rPr>
        <w:t> </w:t>
      </w:r>
      <w:r>
        <w:rPr/>
        <w:t>identity</w:t>
      </w:r>
      <w:r>
        <w:rPr>
          <w:spacing w:val="-5"/>
        </w:rPr>
        <w:t> </w:t>
      </w:r>
      <w:r>
        <w:rPr/>
        <w:t>directly)</w:t>
      </w:r>
      <w:r>
        <w:rPr>
          <w:spacing w:val="-5"/>
        </w:rPr>
        <w:t> </w:t>
      </w:r>
      <w:r>
        <w:rPr/>
        <w:t>may</w:t>
      </w:r>
      <w:r>
        <w:rPr>
          <w:spacing w:val="-5"/>
        </w:rPr>
        <w:t> </w:t>
      </w:r>
      <w:r>
        <w:rPr/>
        <w:t>not</w:t>
      </w:r>
      <w:r>
        <w:rPr>
          <w:spacing w:val="-5"/>
        </w:rPr>
        <w:t> </w:t>
      </w:r>
      <w:r>
        <w:rPr/>
        <w:t>be</w:t>
      </w:r>
      <w:r>
        <w:rPr>
          <w:spacing w:val="-5"/>
        </w:rPr>
        <w:t> </w:t>
      </w:r>
      <w:r>
        <w:rPr/>
        <w:t>returned</w:t>
      </w:r>
      <w:r>
        <w:rPr>
          <w:spacing w:val="-5"/>
        </w:rPr>
        <w:t> </w:t>
      </w:r>
      <w:r>
        <w:rPr/>
        <w:t>if</w:t>
      </w:r>
    </w:p>
    <w:p>
      <w:pPr>
        <w:pStyle w:val="BodyText"/>
        <w:spacing w:after="0" w:line="232" w:lineRule="auto"/>
        <w:sectPr>
          <w:headerReference w:type="default" r:id="rId6"/>
          <w:footerReference w:type="default" r:id="rId7"/>
          <w:pgSz w:w="12240" w:h="15840"/>
          <w:pgMar w:header="793" w:footer="2967" w:top="1360" w:bottom="3160" w:left="1440" w:right="1800"/>
          <w:pgNumType w:start="2"/>
        </w:sectPr>
      </w:pPr>
    </w:p>
    <w:p>
      <w:pPr>
        <w:pStyle w:val="BodyText"/>
        <w:spacing w:line="232" w:lineRule="auto" w:before="95"/>
        <w:ind w:right="199"/>
      </w:pPr>
      <w:r>
        <w:rPr/>
        <w:t>the</w:t>
      </w:r>
      <w:r>
        <w:rPr>
          <w:spacing w:val="-4"/>
        </w:rPr>
        <w:t> </w:t>
      </w:r>
      <w:r>
        <w:rPr/>
        <w:t>server</w:t>
      </w:r>
      <w:r>
        <w:rPr>
          <w:spacing w:val="-4"/>
        </w:rPr>
        <w:t> </w:t>
      </w:r>
      <w:r>
        <w:rPr/>
        <w:t>finds</w:t>
      </w:r>
      <w:r>
        <w:rPr>
          <w:spacing w:val="-4"/>
        </w:rPr>
        <w:t> </w:t>
      </w:r>
      <w:r>
        <w:rPr/>
        <w:t>that</w:t>
      </w:r>
      <w:r>
        <w:rPr>
          <w:spacing w:val="-4"/>
        </w:rPr>
        <w:t> </w:t>
      </w:r>
      <w:r>
        <w:rPr/>
        <w:t>the</w:t>
      </w:r>
      <w:r>
        <w:rPr>
          <w:spacing w:val="-4"/>
        </w:rPr>
        <w:t> </w:t>
      </w:r>
      <w:r>
        <w:rPr/>
        <w:t>requester</w:t>
      </w:r>
      <w:r>
        <w:rPr>
          <w:spacing w:val="-4"/>
        </w:rPr>
        <w:t> </w:t>
      </w:r>
      <w:r>
        <w:rPr/>
        <w:t>does</w:t>
      </w:r>
      <w:r>
        <w:rPr>
          <w:spacing w:val="-4"/>
        </w:rPr>
        <w:t> </w:t>
      </w:r>
      <w:r>
        <w:rPr/>
        <w:t>not</w:t>
      </w:r>
      <w:r>
        <w:rPr>
          <w:spacing w:val="-4"/>
        </w:rPr>
        <w:t> </w:t>
      </w:r>
      <w:r>
        <w:rPr/>
        <w:t>have</w:t>
      </w:r>
      <w:r>
        <w:rPr>
          <w:spacing w:val="-4"/>
        </w:rPr>
        <w:t> </w:t>
      </w:r>
      <w:r>
        <w:rPr/>
        <w:t>the</w:t>
      </w:r>
      <w:r>
        <w:rPr>
          <w:spacing w:val="-4"/>
        </w:rPr>
        <w:t> </w:t>
      </w:r>
      <w:r>
        <w:rPr/>
        <w:t>right</w:t>
      </w:r>
      <w:r>
        <w:rPr>
          <w:spacing w:val="-4"/>
        </w:rPr>
        <w:t> </w:t>
      </w:r>
      <w:r>
        <w:rPr/>
        <w:t>to</w:t>
      </w:r>
      <w:r>
        <w:rPr>
          <w:spacing w:val="-4"/>
        </w:rPr>
        <w:t> </w:t>
      </w:r>
      <w:r>
        <w:rPr/>
        <w:t>assume the requested identity for searching the entry, even if the entry is within the scope of a search request under a base DN that does imply such rights.</w:t>
      </w:r>
      <w:r>
        <w:rPr>
          <w:spacing w:val="80"/>
        </w:rPr>
        <w:t> </w:t>
      </w:r>
      <w:r>
        <w:rPr/>
        <w:t>This means that fewer results, or no results, may be returned</w:t>
      </w:r>
      <w:r>
        <w:rPr>
          <w:spacing w:val="-5"/>
        </w:rPr>
        <w:t> </w:t>
      </w:r>
      <w:r>
        <w:rPr/>
        <w:t>than</w:t>
      </w:r>
      <w:r>
        <w:rPr>
          <w:spacing w:val="-5"/>
        </w:rPr>
        <w:t> </w:t>
      </w:r>
      <w:r>
        <w:rPr/>
        <w:t>would</w:t>
      </w:r>
      <w:r>
        <w:rPr>
          <w:spacing w:val="-5"/>
        </w:rPr>
        <w:t> </w:t>
      </w:r>
      <w:r>
        <w:rPr/>
        <w:t>be</w:t>
      </w:r>
      <w:r>
        <w:rPr>
          <w:spacing w:val="-5"/>
        </w:rPr>
        <w:t> </w:t>
      </w:r>
      <w:r>
        <w:rPr/>
        <w:t>if</w:t>
      </w:r>
      <w:r>
        <w:rPr>
          <w:spacing w:val="-5"/>
        </w:rPr>
        <w:t> </w:t>
      </w:r>
      <w:r>
        <w:rPr/>
        <w:t>the</w:t>
      </w:r>
      <w:r>
        <w:rPr>
          <w:spacing w:val="-5"/>
        </w:rPr>
        <w:t> </w:t>
      </w:r>
      <w:r>
        <w:rPr/>
        <w:t>proxy</w:t>
      </w:r>
      <w:r>
        <w:rPr>
          <w:spacing w:val="-5"/>
        </w:rPr>
        <w:t> </w:t>
      </w:r>
      <w:r>
        <w:rPr/>
        <w:t>authorization</w:t>
      </w:r>
      <w:r>
        <w:rPr>
          <w:spacing w:val="-5"/>
        </w:rPr>
        <w:t> </w:t>
      </w:r>
      <w:r>
        <w:rPr/>
        <w:t>identity</w:t>
      </w:r>
      <w:r>
        <w:rPr>
          <w:spacing w:val="-5"/>
        </w:rPr>
        <w:t> </w:t>
      </w:r>
      <w:r>
        <w:rPr/>
        <w:t>issued</w:t>
      </w:r>
      <w:r>
        <w:rPr>
          <w:spacing w:val="-5"/>
        </w:rPr>
        <w:t> </w:t>
      </w:r>
      <w:r>
        <w:rPr/>
        <w:t>the request directly.</w:t>
      </w:r>
      <w:r>
        <w:rPr>
          <w:spacing w:val="77"/>
          <w:w w:val="150"/>
        </w:rPr>
        <w:t> </w:t>
      </w:r>
      <w:r>
        <w:rPr/>
        <w:t>An example of such a case may be a system with fine-grained access control, where the proxy right requester has proxy</w:t>
      </w:r>
      <w:r>
        <w:rPr>
          <w:spacing w:val="-3"/>
        </w:rPr>
        <w:t> </w:t>
      </w:r>
      <w:r>
        <w:rPr/>
        <w:t>rights</w:t>
      </w:r>
      <w:r>
        <w:rPr>
          <w:spacing w:val="-3"/>
        </w:rPr>
        <w:t> </w:t>
      </w:r>
      <w:r>
        <w:rPr/>
        <w:t>at</w:t>
      </w:r>
      <w:r>
        <w:rPr>
          <w:spacing w:val="-3"/>
        </w:rPr>
        <w:t> </w:t>
      </w:r>
      <w:r>
        <w:rPr/>
        <w:t>the</w:t>
      </w:r>
      <w:r>
        <w:rPr>
          <w:spacing w:val="-3"/>
        </w:rPr>
        <w:t> </w:t>
      </w:r>
      <w:r>
        <w:rPr/>
        <w:t>top</w:t>
      </w:r>
      <w:r>
        <w:rPr>
          <w:spacing w:val="-3"/>
        </w:rPr>
        <w:t> </w:t>
      </w:r>
      <w:r>
        <w:rPr/>
        <w:t>of</w:t>
      </w:r>
      <w:r>
        <w:rPr>
          <w:spacing w:val="-3"/>
        </w:rPr>
        <w:t> </w:t>
      </w:r>
      <w:r>
        <w:rPr/>
        <w:t>a</w:t>
      </w:r>
      <w:r>
        <w:rPr>
          <w:spacing w:val="-3"/>
        </w:rPr>
        <w:t> </w:t>
      </w:r>
      <w:r>
        <w:rPr/>
        <w:t>search</w:t>
      </w:r>
      <w:r>
        <w:rPr>
          <w:spacing w:val="-3"/>
        </w:rPr>
        <w:t> </w:t>
      </w:r>
      <w:r>
        <w:rPr/>
        <w:t>tree,</w:t>
      </w:r>
      <w:r>
        <w:rPr>
          <w:spacing w:val="-3"/>
        </w:rPr>
        <w:t> </w:t>
      </w:r>
      <w:r>
        <w:rPr/>
        <w:t>but</w:t>
      </w:r>
      <w:r>
        <w:rPr>
          <w:spacing w:val="-3"/>
        </w:rPr>
        <w:t> </w:t>
      </w:r>
      <w:r>
        <w:rPr/>
        <w:t>not</w:t>
      </w:r>
      <w:r>
        <w:rPr>
          <w:spacing w:val="-3"/>
        </w:rPr>
        <w:t> </w:t>
      </w:r>
      <w:r>
        <w:rPr/>
        <w:t>at</w:t>
      </w:r>
      <w:r>
        <w:rPr>
          <w:spacing w:val="-3"/>
        </w:rPr>
        <w:t> </w:t>
      </w:r>
      <w:r>
        <w:rPr/>
        <w:t>or</w:t>
      </w:r>
      <w:r>
        <w:rPr>
          <w:spacing w:val="-3"/>
        </w:rPr>
        <w:t> </w:t>
      </w:r>
      <w:r>
        <w:rPr/>
        <w:t>below</w:t>
      </w:r>
      <w:r>
        <w:rPr>
          <w:spacing w:val="-3"/>
        </w:rPr>
        <w:t> </w:t>
      </w:r>
      <w:r>
        <w:rPr/>
        <w:t>a</w:t>
      </w:r>
      <w:r>
        <w:rPr>
          <w:spacing w:val="-3"/>
        </w:rPr>
        <w:t> </w:t>
      </w:r>
      <w:r>
        <w:rPr/>
        <w:t>point or points within the tree.</w:t>
      </w:r>
    </w:p>
    <w:p>
      <w:pPr>
        <w:pStyle w:val="ListParagraph"/>
        <w:numPr>
          <w:ilvl w:val="0"/>
          <w:numId w:val="1"/>
        </w:numPr>
        <w:tabs>
          <w:tab w:pos="638" w:val="left" w:leader="none"/>
        </w:tabs>
        <w:spacing w:line="240" w:lineRule="auto" w:before="217" w:after="0"/>
        <w:ind w:left="638" w:right="0" w:hanging="478"/>
        <w:jc w:val="left"/>
        <w:rPr>
          <w:sz w:val="20"/>
        </w:rPr>
      </w:pPr>
      <w:r>
        <w:rPr>
          <w:sz w:val="20"/>
        </w:rPr>
        <w:t>Security</w:t>
      </w:r>
      <w:r>
        <w:rPr>
          <w:spacing w:val="-8"/>
          <w:sz w:val="20"/>
        </w:rPr>
        <w:t> </w:t>
      </w:r>
      <w:r>
        <w:rPr>
          <w:spacing w:val="-2"/>
          <w:sz w:val="20"/>
        </w:rPr>
        <w:t>Considerations</w:t>
      </w:r>
    </w:p>
    <w:p>
      <w:pPr>
        <w:pStyle w:val="BodyText"/>
        <w:spacing w:line="232" w:lineRule="auto" w:before="218"/>
        <w:ind w:right="266"/>
      </w:pPr>
      <w:r>
        <w:rPr/>
        <w:t>The Proxy Authorization Control method is subject to general LDAP security</w:t>
      </w:r>
      <w:r>
        <w:rPr>
          <w:spacing w:val="-6"/>
        </w:rPr>
        <w:t> </w:t>
      </w:r>
      <w:r>
        <w:rPr/>
        <w:t>considerations</w:t>
      </w:r>
      <w:r>
        <w:rPr>
          <w:spacing w:val="-6"/>
        </w:rPr>
        <w:t> </w:t>
      </w:r>
      <w:r>
        <w:rPr/>
        <w:t>[RFC2251]</w:t>
      </w:r>
      <w:r>
        <w:rPr>
          <w:spacing w:val="-6"/>
        </w:rPr>
        <w:t> </w:t>
      </w:r>
      <w:r>
        <w:rPr/>
        <w:t>[AUTH]</w:t>
      </w:r>
      <w:r>
        <w:rPr>
          <w:spacing w:val="-6"/>
        </w:rPr>
        <w:t> </w:t>
      </w:r>
      <w:r>
        <w:rPr/>
        <w:t>[LDAPTLS].</w:t>
      </w:r>
      <w:r>
        <w:rPr>
          <w:spacing w:val="80"/>
        </w:rPr>
        <w:t> </w:t>
      </w:r>
      <w:r>
        <w:rPr/>
        <w:t>The</w:t>
      </w:r>
      <w:r>
        <w:rPr>
          <w:spacing w:val="-6"/>
        </w:rPr>
        <w:t> </w:t>
      </w:r>
      <w:r>
        <w:rPr/>
        <w:t>control</w:t>
      </w:r>
      <w:r>
        <w:rPr>
          <w:spacing w:val="-6"/>
        </w:rPr>
        <w:t> </w:t>
      </w:r>
      <w:r>
        <w:rPr/>
        <w:t>may be</w:t>
      </w:r>
      <w:r>
        <w:rPr>
          <w:spacing w:val="-6"/>
        </w:rPr>
        <w:t> </w:t>
      </w:r>
      <w:r>
        <w:rPr/>
        <w:t>passed</w:t>
      </w:r>
      <w:r>
        <w:rPr>
          <w:spacing w:val="-4"/>
        </w:rPr>
        <w:t> </w:t>
      </w:r>
      <w:r>
        <w:rPr/>
        <w:t>over</w:t>
      </w:r>
      <w:r>
        <w:rPr>
          <w:spacing w:val="-4"/>
        </w:rPr>
        <w:t> </w:t>
      </w:r>
      <w:r>
        <w:rPr/>
        <w:t>a</w:t>
      </w:r>
      <w:r>
        <w:rPr>
          <w:spacing w:val="-4"/>
        </w:rPr>
        <w:t> </w:t>
      </w:r>
      <w:r>
        <w:rPr/>
        <w:t>secure</w:t>
      </w:r>
      <w:r>
        <w:rPr>
          <w:spacing w:val="-4"/>
        </w:rPr>
        <w:t> </w:t>
      </w:r>
      <w:r>
        <w:rPr/>
        <w:t>channel</w:t>
      </w:r>
      <w:r>
        <w:rPr>
          <w:spacing w:val="-4"/>
        </w:rPr>
        <w:t> </w:t>
      </w:r>
      <w:r>
        <w:rPr/>
        <w:t>as</w:t>
      </w:r>
      <w:r>
        <w:rPr>
          <w:spacing w:val="-4"/>
        </w:rPr>
        <w:t> </w:t>
      </w:r>
      <w:r>
        <w:rPr/>
        <w:t>well</w:t>
      </w:r>
      <w:r>
        <w:rPr>
          <w:spacing w:val="-4"/>
        </w:rPr>
        <w:t> </w:t>
      </w:r>
      <w:r>
        <w:rPr/>
        <w:t>as</w:t>
      </w:r>
      <w:r>
        <w:rPr>
          <w:spacing w:val="-4"/>
        </w:rPr>
        <w:t> </w:t>
      </w:r>
      <w:r>
        <w:rPr/>
        <w:t>over</w:t>
      </w:r>
      <w:r>
        <w:rPr>
          <w:spacing w:val="-4"/>
        </w:rPr>
        <w:t> </w:t>
      </w:r>
      <w:r>
        <w:rPr/>
        <w:t>an</w:t>
      </w:r>
      <w:r>
        <w:rPr>
          <w:spacing w:val="-4"/>
        </w:rPr>
        <w:t> </w:t>
      </w:r>
      <w:r>
        <w:rPr/>
        <w:t>insecure</w:t>
      </w:r>
      <w:r>
        <w:rPr>
          <w:spacing w:val="-4"/>
        </w:rPr>
        <w:t> </w:t>
      </w:r>
      <w:r>
        <w:rPr>
          <w:spacing w:val="-2"/>
        </w:rPr>
        <w:t>channel.</w:t>
      </w:r>
    </w:p>
    <w:p>
      <w:pPr>
        <w:pStyle w:val="BodyText"/>
        <w:spacing w:line="232" w:lineRule="auto"/>
        <w:ind w:right="266"/>
      </w:pPr>
      <w:r>
        <w:rPr/>
        <w:t>The</w:t>
      </w:r>
      <w:r>
        <w:rPr>
          <w:spacing w:val="-5"/>
        </w:rPr>
        <w:t> </w:t>
      </w:r>
      <w:r>
        <w:rPr/>
        <w:t>control</w:t>
      </w:r>
      <w:r>
        <w:rPr>
          <w:spacing w:val="-5"/>
        </w:rPr>
        <w:t> </w:t>
      </w:r>
      <w:r>
        <w:rPr/>
        <w:t>allows</w:t>
      </w:r>
      <w:r>
        <w:rPr>
          <w:spacing w:val="-5"/>
        </w:rPr>
        <w:t> </w:t>
      </w:r>
      <w:r>
        <w:rPr/>
        <w:t>for</w:t>
      </w:r>
      <w:r>
        <w:rPr>
          <w:spacing w:val="-5"/>
        </w:rPr>
        <w:t> </w:t>
      </w:r>
      <w:r>
        <w:rPr/>
        <w:t>an</w:t>
      </w:r>
      <w:r>
        <w:rPr>
          <w:spacing w:val="-5"/>
        </w:rPr>
        <w:t> </w:t>
      </w:r>
      <w:r>
        <w:rPr/>
        <w:t>additional</w:t>
      </w:r>
      <w:r>
        <w:rPr>
          <w:spacing w:val="-5"/>
        </w:rPr>
        <w:t> </w:t>
      </w:r>
      <w:r>
        <w:rPr/>
        <w:t>authorization</w:t>
      </w:r>
      <w:r>
        <w:rPr>
          <w:spacing w:val="-5"/>
        </w:rPr>
        <w:t> </w:t>
      </w:r>
      <w:r>
        <w:rPr/>
        <w:t>identity</w:t>
      </w:r>
      <w:r>
        <w:rPr>
          <w:spacing w:val="-5"/>
        </w:rPr>
        <w:t> </w:t>
      </w:r>
      <w:r>
        <w:rPr/>
        <w:t>to</w:t>
      </w:r>
      <w:r>
        <w:rPr>
          <w:spacing w:val="-5"/>
        </w:rPr>
        <w:t> </w:t>
      </w:r>
      <w:r>
        <w:rPr/>
        <w:t>be passed.</w:t>
      </w:r>
      <w:r>
        <w:rPr>
          <w:spacing w:val="80"/>
        </w:rPr>
        <w:t> </w:t>
      </w:r>
      <w:r>
        <w:rPr/>
        <w:t>In some deployments, these identities may contain confidential information that requires privacy protection.</w:t>
      </w:r>
    </w:p>
    <w:p>
      <w:pPr>
        <w:pStyle w:val="BodyText"/>
        <w:spacing w:line="232" w:lineRule="auto"/>
        <w:ind w:right="266"/>
      </w:pPr>
      <w:r>
        <w:rPr/>
        <w:t>Note that the server is responsible for determining if a proxy authorization</w:t>
      </w:r>
      <w:r>
        <w:rPr>
          <w:spacing w:val="-5"/>
        </w:rPr>
        <w:t> </w:t>
      </w:r>
      <w:r>
        <w:rPr/>
        <w:t>request</w:t>
      </w:r>
      <w:r>
        <w:rPr>
          <w:spacing w:val="-5"/>
        </w:rPr>
        <w:t> </w:t>
      </w:r>
      <w:r>
        <w:rPr/>
        <w:t>is</w:t>
      </w:r>
      <w:r>
        <w:rPr>
          <w:spacing w:val="-5"/>
        </w:rPr>
        <w:t> </w:t>
      </w:r>
      <w:r>
        <w:rPr/>
        <w:t>to</w:t>
      </w:r>
      <w:r>
        <w:rPr>
          <w:spacing w:val="-5"/>
        </w:rPr>
        <w:t> </w:t>
      </w:r>
      <w:r>
        <w:rPr/>
        <w:t>be</w:t>
      </w:r>
      <w:r>
        <w:rPr>
          <w:spacing w:val="-5"/>
        </w:rPr>
        <w:t> </w:t>
      </w:r>
      <w:r>
        <w:rPr/>
        <w:t>honored.</w:t>
      </w:r>
      <w:r>
        <w:rPr>
          <w:spacing w:val="-5"/>
        </w:rPr>
        <w:t> </w:t>
      </w:r>
      <w:r>
        <w:rPr/>
        <w:t>"Anonymous"</w:t>
      </w:r>
      <w:r>
        <w:rPr>
          <w:spacing w:val="-5"/>
        </w:rPr>
        <w:t> </w:t>
      </w:r>
      <w:r>
        <w:rPr/>
        <w:t>users</w:t>
      </w:r>
      <w:r>
        <w:rPr>
          <w:spacing w:val="-5"/>
        </w:rPr>
        <w:t> </w:t>
      </w:r>
      <w:r>
        <w:rPr/>
        <w:t>SHOULD</w:t>
      </w:r>
      <w:r>
        <w:rPr>
          <w:spacing w:val="-5"/>
        </w:rPr>
        <w:t> </w:t>
      </w:r>
      <w:r>
        <w:rPr/>
        <w:t>NOT be allowed to assume the identity of others.</w:t>
      </w:r>
    </w:p>
    <w:p>
      <w:pPr>
        <w:pStyle w:val="ListParagraph"/>
        <w:numPr>
          <w:ilvl w:val="0"/>
          <w:numId w:val="1"/>
        </w:numPr>
        <w:tabs>
          <w:tab w:pos="638" w:val="left" w:leader="none"/>
        </w:tabs>
        <w:spacing w:line="240" w:lineRule="auto" w:before="215" w:after="0"/>
        <w:ind w:left="638" w:right="0" w:hanging="478"/>
        <w:jc w:val="left"/>
        <w:rPr>
          <w:sz w:val="20"/>
        </w:rPr>
      </w:pPr>
      <w:r>
        <w:rPr>
          <w:sz w:val="20"/>
        </w:rPr>
        <w:t>IANA</w:t>
      </w:r>
      <w:r>
        <w:rPr>
          <w:spacing w:val="-4"/>
          <w:sz w:val="20"/>
        </w:rPr>
        <w:t> </w:t>
      </w:r>
      <w:r>
        <w:rPr>
          <w:spacing w:val="-2"/>
          <w:sz w:val="20"/>
        </w:rPr>
        <w:t>Considerations</w:t>
      </w:r>
    </w:p>
    <w:p>
      <w:pPr>
        <w:pStyle w:val="BodyText"/>
        <w:spacing w:line="232" w:lineRule="auto" w:before="219"/>
      </w:pPr>
      <w:r>
        <w:rPr/>
        <w:t>The OID "2.16.840.1.113730.3.4.18" is reserved for the Proxy Authorization</w:t>
      </w:r>
      <w:r>
        <w:rPr>
          <w:spacing w:val="-5"/>
        </w:rPr>
        <w:t> </w:t>
      </w:r>
      <w:r>
        <w:rPr/>
        <w:t>Control.</w:t>
      </w:r>
      <w:r>
        <w:rPr>
          <w:spacing w:val="80"/>
        </w:rPr>
        <w:t> </w:t>
      </w:r>
      <w:r>
        <w:rPr/>
        <w:t>It</w:t>
      </w:r>
      <w:r>
        <w:rPr>
          <w:spacing w:val="-5"/>
        </w:rPr>
        <w:t> </w:t>
      </w:r>
      <w:r>
        <w:rPr/>
        <w:t>has</w:t>
      </w:r>
      <w:r>
        <w:rPr>
          <w:spacing w:val="-5"/>
        </w:rPr>
        <w:t> </w:t>
      </w:r>
      <w:r>
        <w:rPr/>
        <w:t>been</w:t>
      </w:r>
      <w:r>
        <w:rPr>
          <w:spacing w:val="-5"/>
        </w:rPr>
        <w:t> </w:t>
      </w:r>
      <w:r>
        <w:rPr/>
        <w:t>registered</w:t>
      </w:r>
      <w:r>
        <w:rPr>
          <w:spacing w:val="-5"/>
        </w:rPr>
        <w:t> </w:t>
      </w:r>
      <w:r>
        <w:rPr/>
        <w:t>as</w:t>
      </w:r>
      <w:r>
        <w:rPr>
          <w:spacing w:val="-5"/>
        </w:rPr>
        <w:t> </w:t>
      </w:r>
      <w:r>
        <w:rPr/>
        <w:t>an</w:t>
      </w:r>
      <w:r>
        <w:rPr>
          <w:spacing w:val="-5"/>
        </w:rPr>
        <w:t> </w:t>
      </w:r>
      <w:r>
        <w:rPr/>
        <w:t>LDAP</w:t>
      </w:r>
      <w:r>
        <w:rPr>
          <w:spacing w:val="-5"/>
        </w:rPr>
        <w:t> </w:t>
      </w:r>
      <w:r>
        <w:rPr/>
        <w:t>Protocol Mechanism [RFC3383].</w:t>
      </w:r>
    </w:p>
    <w:p>
      <w:pPr>
        <w:pStyle w:val="BodyText"/>
        <w:spacing w:line="232" w:lineRule="auto" w:before="220"/>
        <w:ind w:right="266"/>
      </w:pPr>
      <w:r>
        <w:rPr/>
        <w:t>A</w:t>
      </w:r>
      <w:r>
        <w:rPr>
          <w:spacing w:val="-4"/>
        </w:rPr>
        <w:t> </w:t>
      </w:r>
      <w:r>
        <w:rPr/>
        <w:t>result</w:t>
      </w:r>
      <w:r>
        <w:rPr>
          <w:spacing w:val="-4"/>
        </w:rPr>
        <w:t> </w:t>
      </w:r>
      <w:r>
        <w:rPr/>
        <w:t>code</w:t>
      </w:r>
      <w:r>
        <w:rPr>
          <w:spacing w:val="-4"/>
        </w:rPr>
        <w:t> </w:t>
      </w:r>
      <w:r>
        <w:rPr/>
        <w:t>(123)</w:t>
      </w:r>
      <w:r>
        <w:rPr>
          <w:spacing w:val="-4"/>
        </w:rPr>
        <w:t> </w:t>
      </w:r>
      <w:r>
        <w:rPr/>
        <w:t>has</w:t>
      </w:r>
      <w:r>
        <w:rPr>
          <w:spacing w:val="-4"/>
        </w:rPr>
        <w:t> </w:t>
      </w:r>
      <w:r>
        <w:rPr/>
        <w:t>been</w:t>
      </w:r>
      <w:r>
        <w:rPr>
          <w:spacing w:val="-4"/>
        </w:rPr>
        <w:t> </w:t>
      </w:r>
      <w:r>
        <w:rPr/>
        <w:t>assigned</w:t>
      </w:r>
      <w:r>
        <w:rPr>
          <w:spacing w:val="-4"/>
        </w:rPr>
        <w:t> </w:t>
      </w:r>
      <w:r>
        <w:rPr/>
        <w:t>by</w:t>
      </w:r>
      <w:r>
        <w:rPr>
          <w:spacing w:val="-4"/>
        </w:rPr>
        <w:t> </w:t>
      </w:r>
      <w:r>
        <w:rPr/>
        <w:t>the</w:t>
      </w:r>
      <w:r>
        <w:rPr>
          <w:spacing w:val="-4"/>
        </w:rPr>
        <w:t> </w:t>
      </w:r>
      <w:r>
        <w:rPr/>
        <w:t>IANA</w:t>
      </w:r>
      <w:r>
        <w:rPr>
          <w:spacing w:val="-4"/>
        </w:rPr>
        <w:t> </w:t>
      </w:r>
      <w:r>
        <w:rPr/>
        <w:t>for</w:t>
      </w:r>
      <w:r>
        <w:rPr>
          <w:spacing w:val="-4"/>
        </w:rPr>
        <w:t> </w:t>
      </w:r>
      <w:r>
        <w:rPr/>
        <w:t>the</w:t>
      </w:r>
      <w:r>
        <w:rPr>
          <w:spacing w:val="-4"/>
        </w:rPr>
        <w:t> </w:t>
      </w:r>
      <w:r>
        <w:rPr/>
        <w:t>case</w:t>
      </w:r>
      <w:r>
        <w:rPr>
          <w:spacing w:val="-4"/>
        </w:rPr>
        <w:t> </w:t>
      </w:r>
      <w:r>
        <w:rPr/>
        <w:t>where the server does not execute a request using the proxy authorization </w:t>
      </w:r>
      <w:r>
        <w:rPr>
          <w:spacing w:val="-2"/>
        </w:rPr>
        <w:t>identity.</w:t>
      </w:r>
    </w:p>
    <w:p>
      <w:pPr>
        <w:pStyle w:val="ListParagraph"/>
        <w:numPr>
          <w:ilvl w:val="0"/>
          <w:numId w:val="1"/>
        </w:numPr>
        <w:tabs>
          <w:tab w:pos="638" w:val="left" w:leader="none"/>
        </w:tabs>
        <w:spacing w:line="240" w:lineRule="auto" w:before="216" w:after="0"/>
        <w:ind w:left="638" w:right="0" w:hanging="478"/>
        <w:jc w:val="left"/>
        <w:rPr>
          <w:sz w:val="20"/>
        </w:rPr>
      </w:pPr>
      <w:r>
        <w:rPr>
          <w:spacing w:val="-2"/>
          <w:sz w:val="20"/>
        </w:rPr>
        <w:t>Acknowledgements</w:t>
      </w:r>
    </w:p>
    <w:p>
      <w:pPr>
        <w:pStyle w:val="BodyText"/>
        <w:spacing w:line="232" w:lineRule="auto" w:before="219"/>
        <w:ind w:right="199"/>
      </w:pPr>
      <w:r>
        <w:rPr/>
        <w:t>Mark Smith, formerly of Netscape Communications Corp., Mark Wahl, formerly of Sun Microsystems, Inc., Kurt Zeilenga of OpenLDAP Foundation,</w:t>
      </w:r>
      <w:r>
        <w:rPr>
          <w:spacing w:val="-5"/>
        </w:rPr>
        <w:t> </w:t>
      </w:r>
      <w:r>
        <w:rPr/>
        <w:t>Jim</w:t>
      </w:r>
      <w:r>
        <w:rPr>
          <w:spacing w:val="-5"/>
        </w:rPr>
        <w:t> </w:t>
      </w:r>
      <w:r>
        <w:rPr/>
        <w:t>Sermersheim</w:t>
      </w:r>
      <w:r>
        <w:rPr>
          <w:spacing w:val="-5"/>
        </w:rPr>
        <w:t> </w:t>
      </w:r>
      <w:r>
        <w:rPr/>
        <w:t>of</w:t>
      </w:r>
      <w:r>
        <w:rPr>
          <w:spacing w:val="-5"/>
        </w:rPr>
        <w:t> </w:t>
      </w:r>
      <w:r>
        <w:rPr/>
        <w:t>Novell,</w:t>
      </w:r>
      <w:r>
        <w:rPr>
          <w:spacing w:val="-5"/>
        </w:rPr>
        <w:t> </w:t>
      </w:r>
      <w:r>
        <w:rPr/>
        <w:t>and</w:t>
      </w:r>
      <w:r>
        <w:rPr>
          <w:spacing w:val="-5"/>
        </w:rPr>
        <w:t> </w:t>
      </w:r>
      <w:r>
        <w:rPr/>
        <w:t>Steven</w:t>
      </w:r>
      <w:r>
        <w:rPr>
          <w:spacing w:val="-5"/>
        </w:rPr>
        <w:t> </w:t>
      </w:r>
      <w:r>
        <w:rPr/>
        <w:t>Legg</w:t>
      </w:r>
      <w:r>
        <w:rPr>
          <w:spacing w:val="-5"/>
        </w:rPr>
        <w:t> </w:t>
      </w:r>
      <w:r>
        <w:rPr/>
        <w:t>of</w:t>
      </w:r>
      <w:r>
        <w:rPr>
          <w:spacing w:val="-5"/>
        </w:rPr>
        <w:t> </w:t>
      </w:r>
      <w:r>
        <w:rPr/>
        <w:t>Adacel</w:t>
      </w:r>
      <w:r>
        <w:rPr>
          <w:spacing w:val="-5"/>
        </w:rPr>
        <w:t> </w:t>
      </w:r>
      <w:r>
        <w:rPr/>
        <w:t>have contributed with reviews of this document.</w:t>
      </w:r>
    </w:p>
    <w:p>
      <w:pPr>
        <w:pStyle w:val="BodyText"/>
        <w:spacing w:after="0" w:line="232" w:lineRule="auto"/>
        <w:sectPr>
          <w:pgSz w:w="12240" w:h="15840"/>
          <w:pgMar w:header="793" w:footer="2967" w:top="1360" w:bottom="3160" w:left="1440" w:right="1800"/>
        </w:sectPr>
      </w:pPr>
    </w:p>
    <w:p>
      <w:pPr>
        <w:pStyle w:val="ListParagraph"/>
        <w:numPr>
          <w:ilvl w:val="0"/>
          <w:numId w:val="1"/>
        </w:numPr>
        <w:tabs>
          <w:tab w:pos="638" w:val="left" w:leader="none"/>
        </w:tabs>
        <w:spacing w:line="240" w:lineRule="auto" w:before="90" w:after="0"/>
        <w:ind w:left="638" w:right="0" w:hanging="478"/>
        <w:jc w:val="left"/>
        <w:rPr>
          <w:sz w:val="20"/>
        </w:rPr>
      </w:pPr>
      <w:r>
        <w:rPr>
          <w:sz w:val="20"/>
        </w:rPr>
        <w:t>Normative</w:t>
      </w:r>
      <w:r>
        <w:rPr>
          <w:spacing w:val="-9"/>
          <w:sz w:val="20"/>
        </w:rPr>
        <w:t> </w:t>
      </w:r>
      <w:r>
        <w:rPr>
          <w:spacing w:val="-2"/>
          <w:sz w:val="20"/>
        </w:rPr>
        <w:t>References</w:t>
      </w:r>
    </w:p>
    <w:p>
      <w:pPr>
        <w:pStyle w:val="BodyText"/>
        <w:spacing w:line="232" w:lineRule="auto" w:before="218"/>
        <w:ind w:left="1840" w:hanging="1320"/>
      </w:pPr>
      <w:r>
        <w:rPr/>
        <w:t>[KEYWORDS]</w:t>
      </w:r>
      <w:r>
        <w:rPr>
          <w:spacing w:val="-5"/>
        </w:rPr>
        <w:t> </w:t>
      </w:r>
      <w:r>
        <w:rPr/>
        <w:t>Bradner,</w:t>
      </w:r>
      <w:r>
        <w:rPr>
          <w:spacing w:val="-5"/>
        </w:rPr>
        <w:t> </w:t>
      </w:r>
      <w:r>
        <w:rPr/>
        <w:t>S.,</w:t>
      </w:r>
      <w:r>
        <w:rPr>
          <w:spacing w:val="-5"/>
        </w:rPr>
        <w:t> </w:t>
      </w:r>
      <w:r>
        <w:rPr/>
        <w:t>"Key</w:t>
      </w:r>
      <w:r>
        <w:rPr>
          <w:spacing w:val="-5"/>
        </w:rPr>
        <w:t> </w:t>
      </w:r>
      <w:r>
        <w:rPr/>
        <w:t>words</w:t>
      </w:r>
      <w:r>
        <w:rPr>
          <w:spacing w:val="-5"/>
        </w:rPr>
        <w:t> </w:t>
      </w:r>
      <w:r>
        <w:rPr/>
        <w:t>for</w:t>
      </w:r>
      <w:r>
        <w:rPr>
          <w:spacing w:val="-5"/>
        </w:rPr>
        <w:t> </w:t>
      </w:r>
      <w:r>
        <w:rPr/>
        <w:t>use</w:t>
      </w:r>
      <w:r>
        <w:rPr>
          <w:spacing w:val="-5"/>
        </w:rPr>
        <w:t> </w:t>
      </w:r>
      <w:r>
        <w:rPr/>
        <w:t>in</w:t>
      </w:r>
      <w:r>
        <w:rPr>
          <w:spacing w:val="-5"/>
        </w:rPr>
        <w:t> </w:t>
      </w:r>
      <w:r>
        <w:rPr/>
        <w:t>RFCs</w:t>
      </w:r>
      <w:r>
        <w:rPr>
          <w:spacing w:val="-5"/>
        </w:rPr>
        <w:t> </w:t>
      </w:r>
      <w:r>
        <w:rPr/>
        <w:t>to</w:t>
      </w:r>
      <w:r>
        <w:rPr>
          <w:spacing w:val="-5"/>
        </w:rPr>
        <w:t> </w:t>
      </w:r>
      <w:r>
        <w:rPr/>
        <w:t>Indicate Requirement Levels", BCP 14, RFC 2119, March 1997.</w:t>
      </w:r>
    </w:p>
    <w:p>
      <w:pPr>
        <w:pStyle w:val="BodyText"/>
        <w:tabs>
          <w:tab w:pos="1839" w:val="left" w:leader="none"/>
        </w:tabs>
        <w:spacing w:line="232" w:lineRule="auto"/>
        <w:ind w:left="1840" w:right="559" w:hanging="1320"/>
      </w:pPr>
      <w:r>
        <w:rPr>
          <w:spacing w:val="-2"/>
        </w:rPr>
        <w:t>[LDAPV3]</w:t>
      </w:r>
      <w:r>
        <w:rPr/>
        <w:tab/>
        <w:t>Hodges,</w:t>
      </w:r>
      <w:r>
        <w:rPr>
          <w:spacing w:val="-6"/>
        </w:rPr>
        <w:t> </w:t>
      </w:r>
      <w:r>
        <w:rPr/>
        <w:t>J.</w:t>
      </w:r>
      <w:r>
        <w:rPr>
          <w:spacing w:val="-6"/>
        </w:rPr>
        <w:t> </w:t>
      </w:r>
      <w:r>
        <w:rPr/>
        <w:t>and</w:t>
      </w:r>
      <w:r>
        <w:rPr>
          <w:spacing w:val="-6"/>
        </w:rPr>
        <w:t> </w:t>
      </w:r>
      <w:r>
        <w:rPr/>
        <w:t>R.</w:t>
      </w:r>
      <w:r>
        <w:rPr>
          <w:spacing w:val="-6"/>
        </w:rPr>
        <w:t> </w:t>
      </w:r>
      <w:r>
        <w:rPr/>
        <w:t>Morgan,</w:t>
      </w:r>
      <w:r>
        <w:rPr>
          <w:spacing w:val="-6"/>
        </w:rPr>
        <w:t> </w:t>
      </w:r>
      <w:r>
        <w:rPr/>
        <w:t>"Lightweight</w:t>
      </w:r>
      <w:r>
        <w:rPr>
          <w:spacing w:val="-6"/>
        </w:rPr>
        <w:t> </w:t>
      </w:r>
      <w:r>
        <w:rPr/>
        <w:t>Directory</w:t>
      </w:r>
      <w:r>
        <w:rPr>
          <w:spacing w:val="-6"/>
        </w:rPr>
        <w:t> </w:t>
      </w:r>
      <w:r>
        <w:rPr/>
        <w:t>Access Protocol (v3): Technical Specification", RFC 3377, September 2002.</w:t>
      </w:r>
    </w:p>
    <w:p>
      <w:pPr>
        <w:pStyle w:val="BodyText"/>
        <w:tabs>
          <w:tab w:pos="1839" w:val="left" w:leader="none"/>
        </w:tabs>
        <w:spacing w:line="232" w:lineRule="auto" w:before="220"/>
        <w:ind w:left="1840" w:right="919" w:hanging="1320"/>
      </w:pPr>
      <w:r>
        <w:rPr>
          <w:spacing w:val="-2"/>
        </w:rPr>
        <w:t>[SASL]</w:t>
      </w:r>
      <w:r>
        <w:rPr/>
        <w:tab/>
        <w:t>Myers,</w:t>
      </w:r>
      <w:r>
        <w:rPr>
          <w:spacing w:val="-7"/>
        </w:rPr>
        <w:t> </w:t>
      </w:r>
      <w:r>
        <w:rPr/>
        <w:t>J.,</w:t>
      </w:r>
      <w:r>
        <w:rPr>
          <w:spacing w:val="-7"/>
        </w:rPr>
        <w:t> </w:t>
      </w:r>
      <w:r>
        <w:rPr/>
        <w:t>"Simple</w:t>
      </w:r>
      <w:r>
        <w:rPr>
          <w:spacing w:val="-7"/>
        </w:rPr>
        <w:t> </w:t>
      </w:r>
      <w:r>
        <w:rPr/>
        <w:t>Authentication</w:t>
      </w:r>
      <w:r>
        <w:rPr>
          <w:spacing w:val="-7"/>
        </w:rPr>
        <w:t> </w:t>
      </w:r>
      <w:r>
        <w:rPr/>
        <w:t>and</w:t>
      </w:r>
      <w:r>
        <w:rPr>
          <w:spacing w:val="-7"/>
        </w:rPr>
        <w:t> </w:t>
      </w:r>
      <w:r>
        <w:rPr/>
        <w:t>Security</w:t>
      </w:r>
      <w:r>
        <w:rPr>
          <w:spacing w:val="-7"/>
        </w:rPr>
        <w:t> </w:t>
      </w:r>
      <w:r>
        <w:rPr/>
        <w:t>Layer (SASL)", RFC 2222, October 1997.</w:t>
      </w:r>
    </w:p>
    <w:p>
      <w:pPr>
        <w:pStyle w:val="BodyText"/>
        <w:tabs>
          <w:tab w:pos="1839" w:val="left" w:leader="none"/>
        </w:tabs>
        <w:spacing w:line="232" w:lineRule="auto"/>
        <w:ind w:left="1840" w:right="679" w:hanging="1320"/>
      </w:pPr>
      <w:r>
        <w:rPr>
          <w:spacing w:val="-2"/>
        </w:rPr>
        <w:t>[AUTH]</w:t>
      </w:r>
      <w:r>
        <w:rPr/>
        <w:tab/>
        <w:t>Wahl, M., Alvestrand, H., Hodges, J., and R. Morgan, "Authentication</w:t>
      </w:r>
      <w:r>
        <w:rPr>
          <w:spacing w:val="-6"/>
        </w:rPr>
        <w:t> </w:t>
      </w:r>
      <w:r>
        <w:rPr/>
        <w:t>Methods</w:t>
      </w:r>
      <w:r>
        <w:rPr>
          <w:spacing w:val="-6"/>
        </w:rPr>
        <w:t> </w:t>
      </w:r>
      <w:r>
        <w:rPr/>
        <w:t>for</w:t>
      </w:r>
      <w:r>
        <w:rPr>
          <w:spacing w:val="-6"/>
        </w:rPr>
        <w:t> </w:t>
      </w:r>
      <w:r>
        <w:rPr/>
        <w:t>LDAP",</w:t>
      </w:r>
      <w:r>
        <w:rPr>
          <w:spacing w:val="-6"/>
        </w:rPr>
        <w:t> </w:t>
      </w:r>
      <w:r>
        <w:rPr/>
        <w:t>RFC</w:t>
      </w:r>
      <w:r>
        <w:rPr>
          <w:spacing w:val="-6"/>
        </w:rPr>
        <w:t> </w:t>
      </w:r>
      <w:r>
        <w:rPr/>
        <w:t>2829,</w:t>
      </w:r>
      <w:r>
        <w:rPr>
          <w:spacing w:val="-6"/>
        </w:rPr>
        <w:t> </w:t>
      </w:r>
      <w:r>
        <w:rPr/>
        <w:t>May</w:t>
      </w:r>
      <w:r>
        <w:rPr>
          <w:spacing w:val="-6"/>
        </w:rPr>
        <w:t> </w:t>
      </w:r>
      <w:r>
        <w:rPr/>
        <w:t>2000.</w:t>
      </w:r>
    </w:p>
    <w:p>
      <w:pPr>
        <w:pStyle w:val="BodyText"/>
        <w:spacing w:line="232" w:lineRule="auto" w:before="220"/>
        <w:ind w:left="1840" w:right="266" w:hanging="1320"/>
      </w:pPr>
      <w:r>
        <w:rPr/>
        <w:t>[LDAPTLS]</w:t>
      </w:r>
      <w:r>
        <w:rPr>
          <w:spacing w:val="80"/>
        </w:rPr>
        <w:t> </w:t>
      </w:r>
      <w:r>
        <w:rPr/>
        <w:t>Hodges, J., Morgan, R., and M. Wahl, "Lightweight Directory</w:t>
      </w:r>
      <w:r>
        <w:rPr>
          <w:spacing w:val="-7"/>
        </w:rPr>
        <w:t> </w:t>
      </w:r>
      <w:r>
        <w:rPr/>
        <w:t>Access</w:t>
      </w:r>
      <w:r>
        <w:rPr>
          <w:spacing w:val="-7"/>
        </w:rPr>
        <w:t> </w:t>
      </w:r>
      <w:r>
        <w:rPr/>
        <w:t>Protocol</w:t>
      </w:r>
      <w:r>
        <w:rPr>
          <w:spacing w:val="-7"/>
        </w:rPr>
        <w:t> </w:t>
      </w:r>
      <w:r>
        <w:rPr/>
        <w:t>(v3):</w:t>
      </w:r>
      <w:r>
        <w:rPr>
          <w:spacing w:val="-7"/>
        </w:rPr>
        <w:t> </w:t>
      </w:r>
      <w:r>
        <w:rPr/>
        <w:t>Extension</w:t>
      </w:r>
      <w:r>
        <w:rPr>
          <w:spacing w:val="-7"/>
        </w:rPr>
        <w:t> </w:t>
      </w:r>
      <w:r>
        <w:rPr/>
        <w:t>for</w:t>
      </w:r>
      <w:r>
        <w:rPr>
          <w:spacing w:val="-7"/>
        </w:rPr>
        <w:t> </w:t>
      </w:r>
      <w:r>
        <w:rPr/>
        <w:t>Transport Layer Security", RFC 2830, May 2000.</w:t>
      </w:r>
    </w:p>
    <w:p>
      <w:pPr>
        <w:pStyle w:val="BodyText"/>
        <w:spacing w:line="232" w:lineRule="auto"/>
        <w:ind w:left="1840" w:hanging="1320"/>
      </w:pPr>
      <w:r>
        <w:rPr/>
        <w:t>[RFC2251]</w:t>
      </w:r>
      <w:r>
        <w:rPr>
          <w:spacing w:val="80"/>
        </w:rPr>
        <w:t> </w:t>
      </w:r>
      <w:r>
        <w:rPr/>
        <w:t>Wahl,</w:t>
      </w:r>
      <w:r>
        <w:rPr>
          <w:spacing w:val="-5"/>
        </w:rPr>
        <w:t> </w:t>
      </w:r>
      <w:r>
        <w:rPr/>
        <w:t>M.,</w:t>
      </w:r>
      <w:r>
        <w:rPr>
          <w:spacing w:val="-5"/>
        </w:rPr>
        <w:t> </w:t>
      </w:r>
      <w:r>
        <w:rPr/>
        <w:t>Howes,</w:t>
      </w:r>
      <w:r>
        <w:rPr>
          <w:spacing w:val="-5"/>
        </w:rPr>
        <w:t> </w:t>
      </w:r>
      <w:r>
        <w:rPr/>
        <w:t>T.,</w:t>
      </w:r>
      <w:r>
        <w:rPr>
          <w:spacing w:val="-5"/>
        </w:rPr>
        <w:t> </w:t>
      </w:r>
      <w:r>
        <w:rPr/>
        <w:t>and</w:t>
      </w:r>
      <w:r>
        <w:rPr>
          <w:spacing w:val="-5"/>
        </w:rPr>
        <w:t> </w:t>
      </w:r>
      <w:r>
        <w:rPr/>
        <w:t>S.</w:t>
      </w:r>
      <w:r>
        <w:rPr>
          <w:spacing w:val="-5"/>
        </w:rPr>
        <w:t> </w:t>
      </w:r>
      <w:r>
        <w:rPr/>
        <w:t>Kille,</w:t>
      </w:r>
      <w:r>
        <w:rPr>
          <w:spacing w:val="-5"/>
        </w:rPr>
        <w:t> </w:t>
      </w:r>
      <w:r>
        <w:rPr/>
        <w:t>"Lightweight</w:t>
      </w:r>
      <w:r>
        <w:rPr>
          <w:spacing w:val="-5"/>
        </w:rPr>
        <w:t> </w:t>
      </w:r>
      <w:r>
        <w:rPr/>
        <w:t>Directory Access Protocol (v3)", RFC 2251, December 1997.</w:t>
      </w:r>
    </w:p>
    <w:p>
      <w:pPr>
        <w:pStyle w:val="BodyText"/>
        <w:spacing w:line="232" w:lineRule="auto" w:before="220"/>
        <w:ind w:left="1840" w:right="266" w:hanging="1320"/>
      </w:pPr>
      <w:r>
        <w:rPr/>
        <w:t>[RFC2252]</w:t>
      </w:r>
      <w:r>
        <w:rPr>
          <w:spacing w:val="80"/>
        </w:rPr>
        <w:t> </w:t>
      </w:r>
      <w:r>
        <w:rPr/>
        <w:t>Wahl, M., Coulbeck, A., Howes, T., and S. Kille, "Lightweight</w:t>
      </w:r>
      <w:r>
        <w:rPr>
          <w:spacing w:val="-9"/>
        </w:rPr>
        <w:t> </w:t>
      </w:r>
      <w:r>
        <w:rPr/>
        <w:t>Directory</w:t>
      </w:r>
      <w:r>
        <w:rPr>
          <w:spacing w:val="-9"/>
        </w:rPr>
        <w:t> </w:t>
      </w:r>
      <w:r>
        <w:rPr/>
        <w:t>Access</w:t>
      </w:r>
      <w:r>
        <w:rPr>
          <w:spacing w:val="-9"/>
        </w:rPr>
        <w:t> </w:t>
      </w:r>
      <w:r>
        <w:rPr/>
        <w:t>Protocol</w:t>
      </w:r>
      <w:r>
        <w:rPr>
          <w:spacing w:val="-9"/>
        </w:rPr>
        <w:t> </w:t>
      </w:r>
      <w:r>
        <w:rPr/>
        <w:t>(v3):</w:t>
      </w:r>
      <w:r>
        <w:rPr>
          <w:spacing w:val="-9"/>
        </w:rPr>
        <w:t> </w:t>
      </w:r>
      <w:r>
        <w:rPr/>
        <w:t>Attribute Syntax Definitions", RFC 2252, December 1997.</w:t>
      </w:r>
    </w:p>
    <w:p>
      <w:pPr>
        <w:pStyle w:val="BodyText"/>
        <w:spacing w:line="232" w:lineRule="auto"/>
        <w:ind w:left="1840" w:hanging="1320"/>
      </w:pPr>
      <w:r>
        <w:rPr/>
        <w:t>[RFC2829]</w:t>
      </w:r>
      <w:r>
        <w:rPr>
          <w:spacing w:val="80"/>
        </w:rPr>
        <w:t> </w:t>
      </w:r>
      <w:r>
        <w:rPr/>
        <w:t>Wahl, M., Alvestrand, H., Hodges, J., and R. Morgan, "Authentication</w:t>
      </w:r>
      <w:r>
        <w:rPr>
          <w:spacing w:val="-6"/>
        </w:rPr>
        <w:t> </w:t>
      </w:r>
      <w:r>
        <w:rPr/>
        <w:t>Methods</w:t>
      </w:r>
      <w:r>
        <w:rPr>
          <w:spacing w:val="-6"/>
        </w:rPr>
        <w:t> </w:t>
      </w:r>
      <w:r>
        <w:rPr/>
        <w:t>for</w:t>
      </w:r>
      <w:r>
        <w:rPr>
          <w:spacing w:val="-6"/>
        </w:rPr>
        <w:t> </w:t>
      </w:r>
      <w:r>
        <w:rPr/>
        <w:t>LDAP",</w:t>
      </w:r>
      <w:r>
        <w:rPr>
          <w:spacing w:val="-6"/>
        </w:rPr>
        <w:t> </w:t>
      </w:r>
      <w:r>
        <w:rPr/>
        <w:t>RFC</w:t>
      </w:r>
      <w:r>
        <w:rPr>
          <w:spacing w:val="-6"/>
        </w:rPr>
        <w:t> </w:t>
      </w:r>
      <w:r>
        <w:rPr/>
        <w:t>2829,</w:t>
      </w:r>
      <w:r>
        <w:rPr>
          <w:spacing w:val="-6"/>
        </w:rPr>
        <w:t> </w:t>
      </w:r>
      <w:r>
        <w:rPr/>
        <w:t>May</w:t>
      </w:r>
      <w:r>
        <w:rPr>
          <w:spacing w:val="-6"/>
        </w:rPr>
        <w:t> </w:t>
      </w:r>
      <w:r>
        <w:rPr/>
        <w:t>2000.</w:t>
      </w:r>
    </w:p>
    <w:p>
      <w:pPr>
        <w:pStyle w:val="BodyText"/>
        <w:spacing w:line="232" w:lineRule="auto"/>
        <w:ind w:left="1840" w:right="266" w:hanging="1320"/>
      </w:pPr>
      <w:r>
        <w:rPr/>
        <w:t>[RFC3383]</w:t>
      </w:r>
      <w:r>
        <w:rPr>
          <w:spacing w:val="80"/>
        </w:rPr>
        <w:t> </w:t>
      </w:r>
      <w:r>
        <w:rPr/>
        <w:t>Zeilenga,</w:t>
      </w:r>
      <w:r>
        <w:rPr>
          <w:spacing w:val="-6"/>
        </w:rPr>
        <w:t> </w:t>
      </w:r>
      <w:r>
        <w:rPr/>
        <w:t>K.,</w:t>
      </w:r>
      <w:r>
        <w:rPr>
          <w:spacing w:val="-6"/>
        </w:rPr>
        <w:t> </w:t>
      </w:r>
      <w:r>
        <w:rPr/>
        <w:t>"Internet</w:t>
      </w:r>
      <w:r>
        <w:rPr>
          <w:spacing w:val="-6"/>
        </w:rPr>
        <w:t> </w:t>
      </w:r>
      <w:r>
        <w:rPr/>
        <w:t>Assigned</w:t>
      </w:r>
      <w:r>
        <w:rPr>
          <w:spacing w:val="-6"/>
        </w:rPr>
        <w:t> </w:t>
      </w:r>
      <w:r>
        <w:rPr/>
        <w:t>Numbers</w:t>
      </w:r>
      <w:r>
        <w:rPr>
          <w:spacing w:val="-6"/>
        </w:rPr>
        <w:t> </w:t>
      </w:r>
      <w:r>
        <w:rPr/>
        <w:t>Authority</w:t>
      </w:r>
      <w:r>
        <w:rPr>
          <w:spacing w:val="-6"/>
        </w:rPr>
        <w:t> </w:t>
      </w:r>
      <w:r>
        <w:rPr/>
        <w:t>(IANA) Considerations for the Lightweight Directory Access Protocol (LDAP)", BCP 64, RFC 3383, September 2002.</w:t>
      </w:r>
    </w:p>
    <w:p>
      <w:pPr>
        <w:pStyle w:val="BodyText"/>
        <w:spacing w:before="215"/>
        <w:ind w:left="160"/>
      </w:pPr>
      <w:r>
        <w:rPr/>
        <w:t>Author’s</w:t>
      </w:r>
      <w:r>
        <w:rPr>
          <w:spacing w:val="-8"/>
        </w:rPr>
        <w:t> </w:t>
      </w:r>
      <w:r>
        <w:rPr>
          <w:spacing w:val="-2"/>
        </w:rPr>
        <w:t>Address</w:t>
      </w:r>
    </w:p>
    <w:p>
      <w:pPr>
        <w:pStyle w:val="BodyText"/>
        <w:spacing w:line="232" w:lineRule="auto" w:before="219"/>
        <w:ind w:right="6339"/>
      </w:pPr>
      <w:r>
        <w:rPr/>
        <w:t>Rob Weltman Yahoo!,</w:t>
      </w:r>
      <w:r>
        <w:rPr>
          <w:spacing w:val="-32"/>
        </w:rPr>
        <w:t> </w:t>
      </w:r>
      <w:r>
        <w:rPr/>
        <w:t>Inc.</w:t>
      </w:r>
    </w:p>
    <w:p>
      <w:pPr>
        <w:pStyle w:val="BodyText"/>
        <w:spacing w:line="219" w:lineRule="exact" w:before="0"/>
      </w:pPr>
      <w:r>
        <w:rPr/>
        <w:t>701</w:t>
      </w:r>
      <w:r>
        <w:rPr>
          <w:spacing w:val="-4"/>
        </w:rPr>
        <w:t> </w:t>
      </w:r>
      <w:r>
        <w:rPr/>
        <w:t>First</w:t>
      </w:r>
      <w:r>
        <w:rPr>
          <w:spacing w:val="-4"/>
        </w:rPr>
        <w:t> </w:t>
      </w:r>
      <w:r>
        <w:rPr>
          <w:spacing w:val="-2"/>
        </w:rPr>
        <w:t>Avenue</w:t>
      </w:r>
    </w:p>
    <w:p>
      <w:pPr>
        <w:pStyle w:val="BodyText"/>
        <w:spacing w:line="232" w:lineRule="auto" w:before="1"/>
        <w:ind w:right="5911"/>
      </w:pPr>
      <w:r>
        <w:rPr/>
        <w:t>Sunnyvale,</w:t>
      </w:r>
      <w:r>
        <w:rPr>
          <w:spacing w:val="-20"/>
        </w:rPr>
        <w:t> </w:t>
      </w:r>
      <w:r>
        <w:rPr/>
        <w:t>CA</w:t>
      </w:r>
      <w:r>
        <w:rPr>
          <w:spacing w:val="-20"/>
        </w:rPr>
        <w:t> </w:t>
      </w:r>
      <w:r>
        <w:rPr/>
        <w:t>94089 </w:t>
      </w:r>
      <w:r>
        <w:rPr>
          <w:spacing w:val="-4"/>
        </w:rPr>
        <w:t>USA</w:t>
      </w:r>
    </w:p>
    <w:p>
      <w:pPr>
        <w:pStyle w:val="BodyText"/>
        <w:spacing w:line="223" w:lineRule="exact" w:before="216"/>
      </w:pPr>
      <w:r>
        <w:rPr/>
        <w:t>Phone:</w:t>
      </w:r>
      <w:r>
        <w:rPr>
          <w:spacing w:val="-5"/>
        </w:rPr>
        <w:t> </w:t>
      </w:r>
      <w:r>
        <w:rPr/>
        <w:t>+1</w:t>
      </w:r>
      <w:r>
        <w:rPr>
          <w:spacing w:val="-5"/>
        </w:rPr>
        <w:t> </w:t>
      </w:r>
      <w:r>
        <w:rPr/>
        <w:t>408</w:t>
      </w:r>
      <w:r>
        <w:rPr>
          <w:spacing w:val="-5"/>
        </w:rPr>
        <w:t> </w:t>
      </w:r>
      <w:r>
        <w:rPr/>
        <w:t>349-</w:t>
      </w:r>
      <w:r>
        <w:rPr>
          <w:spacing w:val="-4"/>
        </w:rPr>
        <w:t>5504</w:t>
      </w:r>
    </w:p>
    <w:p>
      <w:pPr>
        <w:pStyle w:val="BodyText"/>
        <w:spacing w:line="223" w:lineRule="exact" w:before="0"/>
      </w:pPr>
      <w:r>
        <w:rPr/>
        <w:t>EMail:</w:t>
      </w:r>
      <w:r>
        <w:rPr>
          <w:spacing w:val="-6"/>
        </w:rPr>
        <w:t> </w:t>
      </w:r>
      <w:hyperlink r:id="rId8">
        <w:r>
          <w:rPr>
            <w:spacing w:val="-2"/>
          </w:rPr>
          <w:t>robw@worldspot.com</w:t>
        </w:r>
      </w:hyperlink>
    </w:p>
    <w:p>
      <w:pPr>
        <w:pStyle w:val="BodyText"/>
        <w:spacing w:after="0" w:line="223" w:lineRule="exact"/>
        <w:sectPr>
          <w:pgSz w:w="12240" w:h="15840"/>
          <w:pgMar w:header="793" w:footer="2967" w:top="1360" w:bottom="3160" w:left="1440" w:right="1800"/>
        </w:sectPr>
      </w:pPr>
    </w:p>
    <w:p>
      <w:pPr>
        <w:pStyle w:val="BodyText"/>
        <w:spacing w:before="90"/>
        <w:ind w:left="160"/>
      </w:pPr>
      <w:r>
        <w:rPr/>
        <w:t>Full</w:t>
      </w:r>
      <w:r>
        <w:rPr>
          <w:spacing w:val="-7"/>
        </w:rPr>
        <w:t> </w:t>
      </w:r>
      <w:r>
        <w:rPr/>
        <w:t>Copyright</w:t>
      </w:r>
      <w:r>
        <w:rPr>
          <w:spacing w:val="-6"/>
        </w:rPr>
        <w:t> </w:t>
      </w:r>
      <w:r>
        <w:rPr>
          <w:spacing w:val="-2"/>
        </w:rPr>
        <w:t>Statement</w:t>
      </w:r>
    </w:p>
    <w:p>
      <w:pPr>
        <w:pStyle w:val="BodyText"/>
        <w:spacing w:before="213"/>
        <w:jc w:val="both"/>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line="232" w:lineRule="auto" w:before="219"/>
        <w:ind w:right="679"/>
        <w:jc w:val="both"/>
      </w:pPr>
      <w:r>
        <w:rPr/>
        <w:t>This</w:t>
      </w:r>
      <w:r>
        <w:rPr>
          <w:spacing w:val="-5"/>
        </w:rPr>
        <w:t> </w:t>
      </w:r>
      <w:r>
        <w:rPr/>
        <w:t>document</w:t>
      </w:r>
      <w:r>
        <w:rPr>
          <w:spacing w:val="-5"/>
        </w:rPr>
        <w:t> </w:t>
      </w:r>
      <w:r>
        <w:rPr/>
        <w:t>is</w:t>
      </w:r>
      <w:r>
        <w:rPr>
          <w:spacing w:val="-5"/>
        </w:rPr>
        <w:t> </w:t>
      </w:r>
      <w:r>
        <w:rPr/>
        <w:t>subject</w:t>
      </w:r>
      <w:r>
        <w:rPr>
          <w:spacing w:val="-5"/>
        </w:rPr>
        <w:t> </w:t>
      </w:r>
      <w:r>
        <w:rPr/>
        <w:t>to</w:t>
      </w:r>
      <w:r>
        <w:rPr>
          <w:spacing w:val="-5"/>
        </w:rPr>
        <w:t> </w:t>
      </w:r>
      <w:r>
        <w:rPr/>
        <w:t>the</w:t>
      </w:r>
      <w:r>
        <w:rPr>
          <w:spacing w:val="-5"/>
        </w:rPr>
        <w:t> </w:t>
      </w:r>
      <w:r>
        <w:rPr/>
        <w:t>rights,</w:t>
      </w:r>
      <w:r>
        <w:rPr>
          <w:spacing w:val="-5"/>
        </w:rPr>
        <w:t> </w:t>
      </w:r>
      <w:r>
        <w:rPr/>
        <w:t>licenses</w:t>
      </w:r>
      <w:r>
        <w:rPr>
          <w:spacing w:val="-5"/>
        </w:rPr>
        <w:t> </w:t>
      </w:r>
      <w:r>
        <w:rPr/>
        <w:t>and</w:t>
      </w:r>
      <w:r>
        <w:rPr>
          <w:spacing w:val="-5"/>
        </w:rPr>
        <w:t> </w:t>
      </w:r>
      <w:r>
        <w:rPr/>
        <w:t>restrictions contained</w:t>
      </w:r>
      <w:r>
        <w:rPr>
          <w:spacing w:val="-4"/>
        </w:rPr>
        <w:t> </w:t>
      </w:r>
      <w:r>
        <w:rPr/>
        <w:t>in</w:t>
      </w:r>
      <w:r>
        <w:rPr>
          <w:spacing w:val="-4"/>
        </w:rPr>
        <w:t> </w:t>
      </w:r>
      <w:r>
        <w:rPr/>
        <w:t>BCP</w:t>
      </w:r>
      <w:r>
        <w:rPr>
          <w:spacing w:val="-4"/>
        </w:rPr>
        <w:t> </w:t>
      </w:r>
      <w:r>
        <w:rPr/>
        <w:t>78,</w:t>
      </w:r>
      <w:r>
        <w:rPr>
          <w:spacing w:val="-4"/>
        </w:rPr>
        <w:t> </w:t>
      </w:r>
      <w:r>
        <w:rPr/>
        <w:t>and</w:t>
      </w:r>
      <w:r>
        <w:rPr>
          <w:spacing w:val="-4"/>
        </w:rPr>
        <w:t> </w:t>
      </w:r>
      <w:r>
        <w:rPr/>
        <w:t>except</w:t>
      </w:r>
      <w:r>
        <w:rPr>
          <w:spacing w:val="-4"/>
        </w:rPr>
        <w:t> </w:t>
      </w:r>
      <w:r>
        <w:rPr/>
        <w:t>as</w:t>
      </w:r>
      <w:r>
        <w:rPr>
          <w:spacing w:val="-4"/>
        </w:rPr>
        <w:t> </w:t>
      </w:r>
      <w:r>
        <w:rPr/>
        <w:t>set</w:t>
      </w:r>
      <w:r>
        <w:rPr>
          <w:spacing w:val="-4"/>
        </w:rPr>
        <w:t> </w:t>
      </w:r>
      <w:r>
        <w:rPr/>
        <w:t>forth</w:t>
      </w:r>
      <w:r>
        <w:rPr>
          <w:spacing w:val="-4"/>
        </w:rPr>
        <w:t> </w:t>
      </w:r>
      <w:r>
        <w:rPr/>
        <w:t>therein,</w:t>
      </w:r>
      <w:r>
        <w:rPr>
          <w:spacing w:val="-4"/>
        </w:rPr>
        <w:t> </w:t>
      </w:r>
      <w:r>
        <w:rPr/>
        <w:t>the</w:t>
      </w:r>
      <w:r>
        <w:rPr>
          <w:spacing w:val="-4"/>
        </w:rPr>
        <w:t> </w:t>
      </w:r>
      <w:r>
        <w:rPr/>
        <w:t>authors retain all their rights.</w:t>
      </w:r>
    </w:p>
    <w:p>
      <w:pPr>
        <w:pStyle w:val="BodyText"/>
        <w:spacing w:line="232" w:lineRule="auto" w:before="220"/>
        <w:ind w:right="199"/>
      </w:pPr>
      <w:r>
        <w:rPr/>
        <w:t>This</w:t>
      </w:r>
      <w:r>
        <w:rPr>
          <w:spacing w:val="-5"/>
        </w:rPr>
        <w:t> </w:t>
      </w:r>
      <w:r>
        <w:rPr/>
        <w:t>document</w:t>
      </w:r>
      <w:r>
        <w:rPr>
          <w:spacing w:val="-5"/>
        </w:rPr>
        <w:t> </w:t>
      </w:r>
      <w:r>
        <w:rPr/>
        <w:t>and</w:t>
      </w:r>
      <w:r>
        <w:rPr>
          <w:spacing w:val="-5"/>
        </w:rPr>
        <w:t> </w:t>
      </w:r>
      <w:r>
        <w:rPr/>
        <w:t>the</w:t>
      </w:r>
      <w:r>
        <w:rPr>
          <w:spacing w:val="-5"/>
        </w:rPr>
        <w:t> </w:t>
      </w:r>
      <w:r>
        <w:rPr/>
        <w:t>information</w:t>
      </w:r>
      <w:r>
        <w:rPr>
          <w:spacing w:val="-5"/>
        </w:rPr>
        <w:t> </w:t>
      </w:r>
      <w:r>
        <w:rPr/>
        <w:t>contained</w:t>
      </w:r>
      <w:r>
        <w:rPr>
          <w:spacing w:val="-5"/>
        </w:rPr>
        <w:t> </w:t>
      </w:r>
      <w:r>
        <w:rPr/>
        <w:t>herein</w:t>
      </w:r>
      <w:r>
        <w:rPr>
          <w:spacing w:val="-5"/>
        </w:rPr>
        <w:t> </w:t>
      </w:r>
      <w:r>
        <w:rPr/>
        <w:t>are</w:t>
      </w:r>
      <w:r>
        <w:rPr>
          <w:spacing w:val="-5"/>
        </w:rPr>
        <w:t> </w:t>
      </w:r>
      <w:r>
        <w:rPr/>
        <w:t>provided</w:t>
      </w:r>
      <w:r>
        <w:rPr>
          <w:spacing w:val="-5"/>
        </w:rPr>
        <w:t> </w:t>
      </w:r>
      <w:r>
        <w:rPr/>
        <w:t>on</w:t>
      </w:r>
      <w:r>
        <w:rPr>
          <w:spacing w:val="-5"/>
        </w:rPr>
        <w:t> </w:t>
      </w:r>
      <w:r>
        <w:rPr/>
        <w:t>an "AS</w:t>
      </w:r>
      <w:r>
        <w:rPr>
          <w:spacing w:val="-5"/>
        </w:rPr>
        <w:t> </w:t>
      </w:r>
      <w:r>
        <w:rPr/>
        <w:t>IS"</w:t>
      </w:r>
      <w:r>
        <w:rPr>
          <w:spacing w:val="-5"/>
        </w:rPr>
        <w:t> </w:t>
      </w:r>
      <w:r>
        <w:rPr/>
        <w:t>basis</w:t>
      </w:r>
      <w:r>
        <w:rPr>
          <w:spacing w:val="-5"/>
        </w:rPr>
        <w:t> </w:t>
      </w:r>
      <w:r>
        <w:rPr/>
        <w:t>and</w:t>
      </w:r>
      <w:r>
        <w:rPr>
          <w:spacing w:val="-5"/>
        </w:rPr>
        <w:t> </w:t>
      </w:r>
      <w:r>
        <w:rPr/>
        <w:t>THE</w:t>
      </w:r>
      <w:r>
        <w:rPr>
          <w:spacing w:val="-5"/>
        </w:rPr>
        <w:t> </w:t>
      </w:r>
      <w:r>
        <w:rPr/>
        <w:t>CONTRIBUTOR,</w:t>
      </w:r>
      <w:r>
        <w:rPr>
          <w:spacing w:val="-5"/>
        </w:rPr>
        <w:t> </w:t>
      </w:r>
      <w:r>
        <w:rPr/>
        <w:t>THE</w:t>
      </w:r>
      <w:r>
        <w:rPr>
          <w:spacing w:val="-5"/>
        </w:rPr>
        <w:t> </w:t>
      </w:r>
      <w:r>
        <w:rPr/>
        <w:t>ORGANIZATION</w:t>
      </w:r>
      <w:r>
        <w:rPr>
          <w:spacing w:val="-5"/>
        </w:rPr>
        <w:t> </w:t>
      </w:r>
      <w:r>
        <w:rPr/>
        <w:t>HE/SHE</w:t>
      </w:r>
      <w:r>
        <w:rPr>
          <w:spacing w:val="-5"/>
        </w:rPr>
        <w:t> </w:t>
      </w:r>
      <w:r>
        <w:rPr/>
        <w:t>REPRESENTS OR IS SPONSORED BY (IF ANY), THE INTERNET SOCIETY AND THE INTERNET ENGINEERING TASK FORCE DISCLAIM ALL WARRANTIES, EXPRESS OR IMPLIED, INCLUDING BUT NOT LIMITED TO ANY WARRANTY THAT THE USE OF THE INFORMATION HEREIN WILL NOT INFRINGE ANY RIGHTS OR ANY IMPLIED WARRANTIES OF MERCHANTABILITY OR FITNESS FOR A PARTICULAR PURPOSE.</w:t>
      </w:r>
    </w:p>
    <w:p>
      <w:pPr>
        <w:pStyle w:val="BodyText"/>
        <w:spacing w:before="217"/>
        <w:ind w:left="160"/>
      </w:pPr>
      <w:r>
        <w:rPr/>
        <w:t>Intellectual</w:t>
      </w:r>
      <w:r>
        <w:rPr>
          <w:spacing w:val="-12"/>
        </w:rPr>
        <w:t> </w:t>
      </w:r>
      <w:r>
        <w:rPr>
          <w:spacing w:val="-2"/>
        </w:rPr>
        <w:t>Property</w:t>
      </w:r>
    </w:p>
    <w:p>
      <w:pPr>
        <w:pStyle w:val="BodyText"/>
        <w:spacing w:line="232" w:lineRule="auto" w:before="218"/>
        <w:ind w:right="199"/>
      </w:pPr>
      <w:r>
        <w:rPr/>
        <w:t>The IETF takes no position regarding the validity or scope of any Intellectual</w:t>
      </w:r>
      <w:r>
        <w:rPr>
          <w:spacing w:val="-5"/>
        </w:rPr>
        <w:t> </w:t>
      </w:r>
      <w:r>
        <w:rPr/>
        <w:t>Property</w:t>
      </w:r>
      <w:r>
        <w:rPr>
          <w:spacing w:val="-5"/>
        </w:rPr>
        <w:t> </w:t>
      </w:r>
      <w:r>
        <w:rPr/>
        <w:t>Rights</w:t>
      </w:r>
      <w:r>
        <w:rPr>
          <w:spacing w:val="-5"/>
        </w:rPr>
        <w:t> </w:t>
      </w:r>
      <w:r>
        <w:rPr/>
        <w:t>or</w:t>
      </w:r>
      <w:r>
        <w:rPr>
          <w:spacing w:val="-5"/>
        </w:rPr>
        <w:t> </w:t>
      </w:r>
      <w:r>
        <w:rPr/>
        <w:t>other</w:t>
      </w:r>
      <w:r>
        <w:rPr>
          <w:spacing w:val="-5"/>
        </w:rPr>
        <w:t> </w:t>
      </w:r>
      <w:r>
        <w:rPr/>
        <w:t>rights</w:t>
      </w:r>
      <w:r>
        <w:rPr>
          <w:spacing w:val="-5"/>
        </w:rPr>
        <w:t> </w:t>
      </w:r>
      <w:r>
        <w:rPr/>
        <w:t>that</w:t>
      </w:r>
      <w:r>
        <w:rPr>
          <w:spacing w:val="-5"/>
        </w:rPr>
        <w:t> </w:t>
      </w:r>
      <w:r>
        <w:rPr/>
        <w:t>might</w:t>
      </w:r>
      <w:r>
        <w:rPr>
          <w:spacing w:val="-5"/>
        </w:rPr>
        <w:t> </w:t>
      </w:r>
      <w:r>
        <w:rPr/>
        <w:t>be</w:t>
      </w:r>
      <w:r>
        <w:rPr>
          <w:spacing w:val="-5"/>
        </w:rPr>
        <w:t> </w:t>
      </w:r>
      <w:r>
        <w:rPr/>
        <w:t>claimed</w:t>
      </w:r>
      <w:r>
        <w:rPr>
          <w:spacing w:val="-5"/>
        </w:rPr>
        <w:t> </w:t>
      </w:r>
      <w:r>
        <w:rPr/>
        <w:t>to pertain to the implementation or use of the technology described in this document or the extent to which any license under such rights might or might not be available; nor does it represent that it has made</w:t>
      </w:r>
      <w:r>
        <w:rPr>
          <w:spacing w:val="-5"/>
        </w:rPr>
        <w:t> </w:t>
      </w:r>
      <w:r>
        <w:rPr/>
        <w:t>any</w:t>
      </w:r>
      <w:r>
        <w:rPr>
          <w:spacing w:val="-5"/>
        </w:rPr>
        <w:t> </w:t>
      </w:r>
      <w:r>
        <w:rPr/>
        <w:t>independent</w:t>
      </w:r>
      <w:r>
        <w:rPr>
          <w:spacing w:val="-5"/>
        </w:rPr>
        <w:t> </w:t>
      </w:r>
      <w:r>
        <w:rPr/>
        <w:t>effort</w:t>
      </w:r>
      <w:r>
        <w:rPr>
          <w:spacing w:val="-5"/>
        </w:rPr>
        <w:t> </w:t>
      </w:r>
      <w:r>
        <w:rPr/>
        <w:t>to</w:t>
      </w:r>
      <w:r>
        <w:rPr>
          <w:spacing w:val="-5"/>
        </w:rPr>
        <w:t> </w:t>
      </w:r>
      <w:r>
        <w:rPr/>
        <w:t>identify</w:t>
      </w:r>
      <w:r>
        <w:rPr>
          <w:spacing w:val="-5"/>
        </w:rPr>
        <w:t> </w:t>
      </w:r>
      <w:r>
        <w:rPr/>
        <w:t>any</w:t>
      </w:r>
      <w:r>
        <w:rPr>
          <w:spacing w:val="-5"/>
        </w:rPr>
        <w:t> </w:t>
      </w:r>
      <w:r>
        <w:rPr/>
        <w:t>such</w:t>
      </w:r>
      <w:r>
        <w:rPr>
          <w:spacing w:val="-5"/>
        </w:rPr>
        <w:t> </w:t>
      </w:r>
      <w:r>
        <w:rPr/>
        <w:t>rights.</w:t>
      </w:r>
      <w:r>
        <w:rPr>
          <w:spacing w:val="80"/>
        </w:rPr>
        <w:t> </w:t>
      </w:r>
      <w:r>
        <w:rPr/>
        <w:t>Information on the procedures with respect to rights in RFC documents can be found in BCP 78 and BCP 79.</w:t>
      </w:r>
    </w:p>
    <w:p>
      <w:pPr>
        <w:pStyle w:val="BodyText"/>
        <w:spacing w:line="232" w:lineRule="auto" w:before="222"/>
        <w:ind w:right="199"/>
      </w:pPr>
      <w:r>
        <w:rPr/>
        <w:t>Copies of IPR disclosures made to the IETF Secretariat and any assurances of licenses to be made available, or the result of an attempt</w:t>
      </w:r>
      <w:r>
        <w:rPr>
          <w:spacing w:val="-4"/>
        </w:rPr>
        <w:t> </w:t>
      </w:r>
      <w:r>
        <w:rPr/>
        <w:t>made</w:t>
      </w:r>
      <w:r>
        <w:rPr>
          <w:spacing w:val="-4"/>
        </w:rPr>
        <w:t> </w:t>
      </w:r>
      <w:r>
        <w:rPr/>
        <w:t>to</w:t>
      </w:r>
      <w:r>
        <w:rPr>
          <w:spacing w:val="-4"/>
        </w:rPr>
        <w:t> </w:t>
      </w:r>
      <w:r>
        <w:rPr/>
        <w:t>obtain</w:t>
      </w:r>
      <w:r>
        <w:rPr>
          <w:spacing w:val="-4"/>
        </w:rPr>
        <w:t> </w:t>
      </w:r>
      <w:r>
        <w:rPr/>
        <w:t>a</w:t>
      </w:r>
      <w:r>
        <w:rPr>
          <w:spacing w:val="-4"/>
        </w:rPr>
        <w:t> </w:t>
      </w:r>
      <w:r>
        <w:rPr/>
        <w:t>general</w:t>
      </w:r>
      <w:r>
        <w:rPr>
          <w:spacing w:val="-4"/>
        </w:rPr>
        <w:t> </w:t>
      </w:r>
      <w:r>
        <w:rPr/>
        <w:t>license</w:t>
      </w:r>
      <w:r>
        <w:rPr>
          <w:spacing w:val="-4"/>
        </w:rPr>
        <w:t> </w:t>
      </w:r>
      <w:r>
        <w:rPr/>
        <w:t>or</w:t>
      </w:r>
      <w:r>
        <w:rPr>
          <w:spacing w:val="-4"/>
        </w:rPr>
        <w:t> </w:t>
      </w:r>
      <w:r>
        <w:rPr/>
        <w:t>permission</w:t>
      </w:r>
      <w:r>
        <w:rPr>
          <w:spacing w:val="-4"/>
        </w:rPr>
        <w:t> </w:t>
      </w:r>
      <w:r>
        <w:rPr/>
        <w:t>for</w:t>
      </w:r>
      <w:r>
        <w:rPr>
          <w:spacing w:val="-4"/>
        </w:rPr>
        <w:t> </w:t>
      </w:r>
      <w:r>
        <w:rPr/>
        <w:t>the</w:t>
      </w:r>
      <w:r>
        <w:rPr>
          <w:spacing w:val="-4"/>
        </w:rPr>
        <w:t> </w:t>
      </w:r>
      <w:r>
        <w:rPr/>
        <w:t>use</w:t>
      </w:r>
      <w:r>
        <w:rPr>
          <w:spacing w:val="-4"/>
        </w:rPr>
        <w:t> </w:t>
      </w:r>
      <w:r>
        <w:rPr/>
        <w:t>of such proprietary rights by implementers or users of this specification</w:t>
      </w:r>
      <w:r>
        <w:rPr>
          <w:spacing w:val="-5"/>
        </w:rPr>
        <w:t> </w:t>
      </w:r>
      <w:r>
        <w:rPr/>
        <w:t>can</w:t>
      </w:r>
      <w:r>
        <w:rPr>
          <w:spacing w:val="-5"/>
        </w:rPr>
        <w:t> </w:t>
      </w:r>
      <w:r>
        <w:rPr/>
        <w:t>be</w:t>
      </w:r>
      <w:r>
        <w:rPr>
          <w:spacing w:val="-5"/>
        </w:rPr>
        <w:t> </w:t>
      </w:r>
      <w:r>
        <w:rPr/>
        <w:t>obtained</w:t>
      </w:r>
      <w:r>
        <w:rPr>
          <w:spacing w:val="-5"/>
        </w:rPr>
        <w:t> </w:t>
      </w:r>
      <w:r>
        <w:rPr/>
        <w:t>from</w:t>
      </w:r>
      <w:r>
        <w:rPr>
          <w:spacing w:val="-5"/>
        </w:rPr>
        <w:t> </w:t>
      </w:r>
      <w:r>
        <w:rPr/>
        <w:t>the</w:t>
      </w:r>
      <w:r>
        <w:rPr>
          <w:spacing w:val="-5"/>
        </w:rPr>
        <w:t> </w:t>
      </w:r>
      <w:r>
        <w:rPr/>
        <w:t>IETF</w:t>
      </w:r>
      <w:r>
        <w:rPr>
          <w:spacing w:val="-5"/>
        </w:rPr>
        <w:t> </w:t>
      </w:r>
      <w:r>
        <w:rPr/>
        <w:t>on-line</w:t>
      </w:r>
      <w:r>
        <w:rPr>
          <w:spacing w:val="-5"/>
        </w:rPr>
        <w:t> </w:t>
      </w:r>
      <w:r>
        <w:rPr/>
        <w:t>IPR</w:t>
      </w:r>
      <w:r>
        <w:rPr>
          <w:spacing w:val="-5"/>
        </w:rPr>
        <w:t> </w:t>
      </w:r>
      <w:r>
        <w:rPr/>
        <w:t>repository</w:t>
      </w:r>
      <w:r>
        <w:rPr>
          <w:spacing w:val="-5"/>
        </w:rPr>
        <w:t> </w:t>
      </w:r>
      <w:r>
        <w:rPr/>
        <w:t>at </w:t>
      </w:r>
      <w:hyperlink r:id="rId9">
        <w:r>
          <w:rPr>
            <w:spacing w:val="-2"/>
          </w:rPr>
          <w:t>http://www.ietf.org/ipr</w:t>
        </w:r>
      </w:hyperlink>
      <w:r>
        <w:rPr>
          <w:spacing w:val="-2"/>
        </w:rPr>
        <w:t>.</w:t>
      </w:r>
    </w:p>
    <w:p>
      <w:pPr>
        <w:pStyle w:val="BodyText"/>
        <w:spacing w:line="232" w:lineRule="auto" w:before="222"/>
        <w:ind w:right="266"/>
      </w:pPr>
      <w:r>
        <w:rPr/>
        <w:t>The</w:t>
      </w:r>
      <w:r>
        <w:rPr>
          <w:spacing w:val="-4"/>
        </w:rPr>
        <w:t> </w:t>
      </w:r>
      <w:r>
        <w:rPr/>
        <w:t>IETF</w:t>
      </w:r>
      <w:r>
        <w:rPr>
          <w:spacing w:val="-4"/>
        </w:rPr>
        <w:t> </w:t>
      </w:r>
      <w:r>
        <w:rPr/>
        <w:t>invites</w:t>
      </w:r>
      <w:r>
        <w:rPr>
          <w:spacing w:val="-4"/>
        </w:rPr>
        <w:t> </w:t>
      </w:r>
      <w:r>
        <w:rPr/>
        <w:t>any</w:t>
      </w:r>
      <w:r>
        <w:rPr>
          <w:spacing w:val="-4"/>
        </w:rPr>
        <w:t> </w:t>
      </w:r>
      <w:r>
        <w:rPr/>
        <w:t>interested</w:t>
      </w:r>
      <w:r>
        <w:rPr>
          <w:spacing w:val="-4"/>
        </w:rPr>
        <w:t> </w:t>
      </w:r>
      <w:r>
        <w:rPr/>
        <w:t>party</w:t>
      </w:r>
      <w:r>
        <w:rPr>
          <w:spacing w:val="-4"/>
        </w:rPr>
        <w:t> </w:t>
      </w:r>
      <w:r>
        <w:rPr/>
        <w:t>to</w:t>
      </w:r>
      <w:r>
        <w:rPr>
          <w:spacing w:val="-4"/>
        </w:rPr>
        <w:t> </w:t>
      </w:r>
      <w:r>
        <w:rPr/>
        <w:t>bring</w:t>
      </w:r>
      <w:r>
        <w:rPr>
          <w:spacing w:val="-4"/>
        </w:rPr>
        <w:t> </w:t>
      </w:r>
      <w:r>
        <w:rPr/>
        <w:t>to</w:t>
      </w:r>
      <w:r>
        <w:rPr>
          <w:spacing w:val="-4"/>
        </w:rPr>
        <w:t> </w:t>
      </w:r>
      <w:r>
        <w:rPr/>
        <w:t>its</w:t>
      </w:r>
      <w:r>
        <w:rPr>
          <w:spacing w:val="-4"/>
        </w:rPr>
        <w:t> </w:t>
      </w:r>
      <w:r>
        <w:rPr/>
        <w:t>attention</w:t>
      </w:r>
      <w:r>
        <w:rPr>
          <w:spacing w:val="-4"/>
        </w:rPr>
        <w:t> </w:t>
      </w:r>
      <w:r>
        <w:rPr/>
        <w:t>any copyrights, patents or patent applications, or other proprietary rights that may cover technology that may be required to implement this standard.</w:t>
      </w:r>
      <w:r>
        <w:rPr>
          <w:spacing w:val="80"/>
        </w:rPr>
        <w:t> </w:t>
      </w:r>
      <w:r>
        <w:rPr/>
        <w:t>Please address the information to the IETF at</w:t>
      </w:r>
    </w:p>
    <w:p>
      <w:pPr>
        <w:pStyle w:val="BodyText"/>
        <w:spacing w:line="223" w:lineRule="exact" w:before="0"/>
      </w:pPr>
      <w:hyperlink r:id="rId10">
        <w:r>
          <w:rPr>
            <w:spacing w:val="-2"/>
          </w:rPr>
          <w:t>ietf-ipr@ietf.org</w:t>
        </w:r>
      </w:hyperlink>
      <w:r>
        <w:rPr>
          <w:spacing w:val="-2"/>
        </w:rPr>
        <w:t>.</w:t>
      </w:r>
    </w:p>
    <w:p>
      <w:pPr>
        <w:pStyle w:val="BodyText"/>
        <w:spacing w:before="213"/>
        <w:ind w:left="160"/>
      </w:pPr>
      <w:r>
        <w:rPr>
          <w:spacing w:val="-2"/>
        </w:rPr>
        <w:t>Acknowledgement</w:t>
      </w:r>
    </w:p>
    <w:p>
      <w:pPr>
        <w:pStyle w:val="BodyText"/>
        <w:spacing w:line="232" w:lineRule="auto" w:before="219"/>
      </w:pPr>
      <w:r>
        <w:rPr/>
        <w:t>Funding</w:t>
      </w:r>
      <w:r>
        <w:rPr>
          <w:spacing w:val="-5"/>
        </w:rPr>
        <w:t> </w:t>
      </w:r>
      <w:r>
        <w:rPr/>
        <w:t>for</w:t>
      </w:r>
      <w:r>
        <w:rPr>
          <w:spacing w:val="-5"/>
        </w:rPr>
        <w:t> </w:t>
      </w:r>
      <w:r>
        <w:rPr/>
        <w:t>the</w:t>
      </w:r>
      <w:r>
        <w:rPr>
          <w:spacing w:val="-5"/>
        </w:rPr>
        <w:t> </w:t>
      </w:r>
      <w:r>
        <w:rPr/>
        <w:t>RFC</w:t>
      </w:r>
      <w:r>
        <w:rPr>
          <w:spacing w:val="-5"/>
        </w:rPr>
        <w:t> </w:t>
      </w:r>
      <w:r>
        <w:rPr/>
        <w:t>Editor</w:t>
      </w:r>
      <w:r>
        <w:rPr>
          <w:spacing w:val="-5"/>
        </w:rPr>
        <w:t> </w:t>
      </w:r>
      <w:r>
        <w:rPr/>
        <w:t>function</w:t>
      </w:r>
      <w:r>
        <w:rPr>
          <w:spacing w:val="-5"/>
        </w:rPr>
        <w:t> </w:t>
      </w:r>
      <w:r>
        <w:rPr/>
        <w:t>is</w:t>
      </w:r>
      <w:r>
        <w:rPr>
          <w:spacing w:val="-5"/>
        </w:rPr>
        <w:t> </w:t>
      </w:r>
      <w:r>
        <w:rPr/>
        <w:t>provided</w:t>
      </w:r>
      <w:r>
        <w:rPr>
          <w:spacing w:val="-5"/>
        </w:rPr>
        <w:t> </w:t>
      </w:r>
      <w:r>
        <w:rPr/>
        <w:t>by</w:t>
      </w:r>
      <w:r>
        <w:rPr>
          <w:spacing w:val="-5"/>
        </w:rPr>
        <w:t> </w:t>
      </w:r>
      <w:r>
        <w:rPr/>
        <w:t>the</w:t>
      </w:r>
      <w:r>
        <w:rPr>
          <w:spacing w:val="-5"/>
        </w:rPr>
        <w:t> </w:t>
      </w:r>
      <w:r>
        <w:rPr/>
        <w:t>IETF Administrative Support Activity (IASA).</w:t>
      </w:r>
    </w:p>
    <w:sectPr>
      <w:pgSz w:w="12240" w:h="15840"/>
      <w:pgMar w:header="793" w:footer="2967" w:top="1360" w:bottom="31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514112">
              <wp:simplePos x="0" y="0"/>
              <wp:positionH relativeFrom="page">
                <wp:posOffset>1003300</wp:posOffset>
              </wp:positionH>
              <wp:positionV relativeFrom="page">
                <wp:posOffset>8314370</wp:posOffset>
              </wp:positionV>
              <wp:extent cx="558800"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58800" cy="169545"/>
                      </a:xfrm>
                      <a:prstGeom prst="rect">
                        <a:avLst/>
                      </a:prstGeom>
                    </wps:spPr>
                    <wps:txbx>
                      <w:txbxContent>
                        <w:p>
                          <w:pPr>
                            <w:pStyle w:val="BodyText"/>
                            <w:spacing w:before="20"/>
                            <w:ind w:left="20"/>
                          </w:pPr>
                          <w:r>
                            <w:rPr>
                              <w:spacing w:val="-2"/>
                            </w:rPr>
                            <w:t>Weltman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44pt;height:13.35pt;mso-position-horizontal-relative:page;mso-position-vertical-relative:page;z-index:-15802368" type="#_x0000_t202" id="docshape1" filled="false" stroked="false">
              <v:textbox inset="0,0,0,0">
                <w:txbxContent>
                  <w:p>
                    <w:pPr>
                      <w:pStyle w:val="BodyText"/>
                      <w:spacing w:before="20"/>
                      <w:ind w:left="20"/>
                    </w:pPr>
                    <w:r>
                      <w:rPr>
                        <w:spacing w:val="-2"/>
                      </w:rPr>
                      <w:t>Weltman</w:t>
                    </w:r>
                  </w:p>
                </w:txbxContent>
              </v:textbox>
              <w10:wrap type="none"/>
            </v:shape>
          </w:pict>
        </mc:Fallback>
      </mc:AlternateContent>
    </w:r>
    <w:r>
      <w:rPr/>
      <mc:AlternateContent>
        <mc:Choice Requires="wps">
          <w:drawing>
            <wp:anchor distT="0" distB="0" distL="0" distR="0" allowOverlap="1" layoutInCell="1" locked="0" behindDoc="1" simplePos="0" relativeHeight="487514624">
              <wp:simplePos x="0" y="0"/>
              <wp:positionH relativeFrom="page">
                <wp:posOffset>3136900</wp:posOffset>
              </wp:positionH>
              <wp:positionV relativeFrom="page">
                <wp:posOffset>8314370</wp:posOffset>
              </wp:positionV>
              <wp:extent cx="1168400"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54.674805pt;width:92pt;height:13.35pt;mso-position-horizontal-relative:page;mso-position-vertical-relative:page;z-index:-15801856" type="#_x0000_t202" id="docshape2"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515136">
              <wp:simplePos x="0" y="0"/>
              <wp:positionH relativeFrom="page">
                <wp:posOffset>5880100</wp:posOffset>
              </wp:positionH>
              <wp:positionV relativeFrom="page">
                <wp:posOffset>8314370</wp:posOffset>
              </wp:positionV>
              <wp:extent cx="635000"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000" cy="169545"/>
                      </a:xfrm>
                      <a:prstGeom prst="rect">
                        <a:avLst/>
                      </a:prstGeom>
                    </wps:spPr>
                    <wps:txbx>
                      <w:txbxContent>
                        <w:p>
                          <w:pPr>
                            <w:pStyle w:val="BodyText"/>
                            <w:spacing w:before="20"/>
                            <w:ind w:left="20"/>
                          </w:pPr>
                          <w:r>
                            <w:rPr/>
                            <w:t>[Page</w:t>
                          </w:r>
                          <w:r>
                            <w:rPr>
                              <w:spacing w:val="-5"/>
                            </w:rPr>
                            <w:t> 1]</w:t>
                          </w:r>
                        </w:p>
                      </w:txbxContent>
                    </wps:txbx>
                    <wps:bodyPr wrap="square" lIns="0" tIns="0" rIns="0" bIns="0" rtlCol="0">
                      <a:noAutofit/>
                    </wps:bodyPr>
                  </wps:wsp>
                </a:graphicData>
              </a:graphic>
            </wp:anchor>
          </w:drawing>
        </mc:Choice>
        <mc:Fallback>
          <w:pict>
            <v:shape style="position:absolute;margin-left:463.000031pt;margin-top:654.674805pt;width:50pt;height:13.35pt;mso-position-horizontal-relative:page;mso-position-vertical-relative:page;z-index:-15801344" type="#_x0000_t202" id="docshape3" filled="false" stroked="false">
              <v:textbox inset="0,0,0,0">
                <w:txbxContent>
                  <w:p>
                    <w:pPr>
                      <w:pStyle w:val="BodyText"/>
                      <w:spacing w:before="20"/>
                      <w:ind w:left="20"/>
                    </w:pPr>
                    <w:r>
                      <w:rPr/>
                      <w:t>[Page</w:t>
                    </w:r>
                    <w:r>
                      <w:rPr>
                        <w:spacing w:val="-5"/>
                      </w:rPr>
                      <w:t> 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517184">
              <wp:simplePos x="0" y="0"/>
              <wp:positionH relativeFrom="page">
                <wp:posOffset>1003300</wp:posOffset>
              </wp:positionH>
              <wp:positionV relativeFrom="page">
                <wp:posOffset>8034970</wp:posOffset>
              </wp:positionV>
              <wp:extent cx="558800"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58800" cy="169545"/>
                      </a:xfrm>
                      <a:prstGeom prst="rect">
                        <a:avLst/>
                      </a:prstGeom>
                    </wps:spPr>
                    <wps:txbx>
                      <w:txbxContent>
                        <w:p>
                          <w:pPr>
                            <w:pStyle w:val="BodyText"/>
                            <w:spacing w:before="20"/>
                            <w:ind w:left="20"/>
                          </w:pPr>
                          <w:r>
                            <w:rPr>
                              <w:spacing w:val="-2"/>
                            </w:rPr>
                            <w:t>Weltman</w:t>
                          </w:r>
                        </w:p>
                      </w:txbxContent>
                    </wps:txbx>
                    <wps:bodyPr wrap="square" lIns="0" tIns="0" rIns="0" bIns="0" rtlCol="0">
                      <a:noAutofit/>
                    </wps:bodyPr>
                  </wps:wsp>
                </a:graphicData>
              </a:graphic>
            </wp:anchor>
          </w:drawing>
        </mc:Choice>
        <mc:Fallback>
          <w:pict>
            <v:shape style="position:absolute;margin-left:79pt;margin-top:632.674805pt;width:44pt;height:13.35pt;mso-position-horizontal-relative:page;mso-position-vertical-relative:page;z-index:-15799296" type="#_x0000_t202" id="docshape7" filled="false" stroked="false">
              <v:textbox inset="0,0,0,0">
                <w:txbxContent>
                  <w:p>
                    <w:pPr>
                      <w:pStyle w:val="BodyText"/>
                      <w:spacing w:before="20"/>
                      <w:ind w:left="20"/>
                    </w:pPr>
                    <w:r>
                      <w:rPr>
                        <w:spacing w:val="-2"/>
                      </w:rPr>
                      <w:t>Weltman</w:t>
                    </w:r>
                  </w:p>
                </w:txbxContent>
              </v:textbox>
              <w10:wrap type="none"/>
            </v:shape>
          </w:pict>
        </mc:Fallback>
      </mc:AlternateContent>
    </w:r>
    <w:r>
      <w:rPr/>
      <mc:AlternateContent>
        <mc:Choice Requires="wps">
          <w:drawing>
            <wp:anchor distT="0" distB="0" distL="0" distR="0" allowOverlap="1" layoutInCell="1" locked="0" behindDoc="1" simplePos="0" relativeHeight="487517696">
              <wp:simplePos x="0" y="0"/>
              <wp:positionH relativeFrom="page">
                <wp:posOffset>3136900</wp:posOffset>
              </wp:positionH>
              <wp:positionV relativeFrom="page">
                <wp:posOffset>8034970</wp:posOffset>
              </wp:positionV>
              <wp:extent cx="1168400"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32.674805pt;width:92pt;height:13.35pt;mso-position-horizontal-relative:page;mso-position-vertical-relative:page;z-index:-15798784" type="#_x0000_t202" id="docshape8"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518208">
              <wp:simplePos x="0" y="0"/>
              <wp:positionH relativeFrom="page">
                <wp:posOffset>5880100</wp:posOffset>
              </wp:positionH>
              <wp:positionV relativeFrom="page">
                <wp:posOffset>8034970</wp:posOffset>
              </wp:positionV>
              <wp:extent cx="635000" cy="1695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35000" cy="169545"/>
                      </a:xfrm>
                      <a:prstGeom prst="rect">
                        <a:avLst/>
                      </a:prstGeom>
                    </wps:spPr>
                    <wps:txbx>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2</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63.000031pt;margin-top:632.674805pt;width:50pt;height:13.35pt;mso-position-horizontal-relative:page;mso-position-vertical-relative:page;z-index:-15798272" type="#_x0000_t202" id="docshape9" filled="false" stroked="false">
              <v:textbox inset="0,0,0,0">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2</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515648">
              <wp:simplePos x="0" y="0"/>
              <wp:positionH relativeFrom="page">
                <wp:posOffset>1003300</wp:posOffset>
              </wp:positionH>
              <wp:positionV relativeFrom="page">
                <wp:posOffset>491170</wp:posOffset>
              </wp:positionV>
              <wp:extent cx="635000"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000" cy="169545"/>
                      </a:xfrm>
                      <a:prstGeom prst="rect">
                        <a:avLst/>
                      </a:prstGeom>
                    </wps:spPr>
                    <wps:txbx>
                      <w:txbxContent>
                        <w:p>
                          <w:pPr>
                            <w:pStyle w:val="BodyText"/>
                            <w:spacing w:before="20"/>
                            <w:ind w:left="20"/>
                          </w:pPr>
                          <w:r>
                            <w:rPr/>
                            <w:t>RFC</w:t>
                          </w:r>
                          <w:r>
                            <w:rPr>
                              <w:spacing w:val="-3"/>
                            </w:rPr>
                            <w:t> </w:t>
                          </w:r>
                          <w:r>
                            <w:rPr>
                              <w:spacing w:val="-4"/>
                            </w:rPr>
                            <w:t>4370</w:t>
                          </w:r>
                        </w:p>
                      </w:txbxContent>
                    </wps:txbx>
                    <wps:bodyPr wrap="square" lIns="0" tIns="0" rIns="0" bIns="0" rtlCol="0">
                      <a:noAutofit/>
                    </wps:bodyPr>
                  </wps:wsp>
                </a:graphicData>
              </a:graphic>
            </wp:anchor>
          </w:drawing>
        </mc:Choice>
        <mc:Fallback>
          <w:pict>
            <v:shape style="position:absolute;margin-left:79pt;margin-top:38.674805pt;width:50pt;height:13.35pt;mso-position-horizontal-relative:page;mso-position-vertical-relative:page;z-index:-15800832" type="#_x0000_t202" id="docshape4" filled="false" stroked="false">
              <v:textbox inset="0,0,0,0">
                <w:txbxContent>
                  <w:p>
                    <w:pPr>
                      <w:pStyle w:val="BodyText"/>
                      <w:spacing w:before="20"/>
                      <w:ind w:left="20"/>
                    </w:pPr>
                    <w:r>
                      <w:rPr/>
                      <w:t>RFC</w:t>
                    </w:r>
                    <w:r>
                      <w:rPr>
                        <w:spacing w:val="-3"/>
                      </w:rPr>
                      <w:t> </w:t>
                    </w:r>
                    <w:r>
                      <w:rPr>
                        <w:spacing w:val="-4"/>
                      </w:rPr>
                      <w:t>4370</w:t>
                    </w:r>
                  </w:p>
                </w:txbxContent>
              </v:textbox>
              <w10:wrap type="none"/>
            </v:shape>
          </w:pict>
        </mc:Fallback>
      </mc:AlternateContent>
    </w:r>
    <w:r>
      <w:rPr/>
      <mc:AlternateContent>
        <mc:Choice Requires="wps">
          <w:drawing>
            <wp:anchor distT="0" distB="0" distL="0" distR="0" allowOverlap="1" layoutInCell="1" locked="0" behindDoc="1" simplePos="0" relativeHeight="487516160">
              <wp:simplePos x="0" y="0"/>
              <wp:positionH relativeFrom="page">
                <wp:posOffset>2451100</wp:posOffset>
              </wp:positionH>
              <wp:positionV relativeFrom="page">
                <wp:posOffset>491170</wp:posOffset>
              </wp:positionV>
              <wp:extent cx="2616200"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616200" cy="169545"/>
                      </a:xfrm>
                      <a:prstGeom prst="rect">
                        <a:avLst/>
                      </a:prstGeom>
                    </wps:spPr>
                    <wps:txbx>
                      <w:txbxContent>
                        <w:p>
                          <w:pPr>
                            <w:pStyle w:val="BodyText"/>
                            <w:spacing w:before="20"/>
                            <w:ind w:left="20"/>
                          </w:pPr>
                          <w:r>
                            <w:rPr/>
                            <w:t>LDAP</w:t>
                          </w:r>
                          <w:r>
                            <w:rPr>
                              <w:spacing w:val="-8"/>
                            </w:rPr>
                            <w:t> </w:t>
                          </w:r>
                          <w:r>
                            <w:rPr/>
                            <w:t>Proxied</w:t>
                          </w:r>
                          <w:r>
                            <w:rPr>
                              <w:spacing w:val="-8"/>
                            </w:rPr>
                            <w:t> </w:t>
                          </w:r>
                          <w:r>
                            <w:rPr/>
                            <w:t>Authorization</w:t>
                          </w:r>
                          <w:r>
                            <w:rPr>
                              <w:spacing w:val="-8"/>
                            </w:rPr>
                            <w:t> </w:t>
                          </w:r>
                          <w:r>
                            <w:rPr>
                              <w:spacing w:val="-2"/>
                            </w:rPr>
                            <w:t>Control</w:t>
                          </w:r>
                        </w:p>
                      </w:txbxContent>
                    </wps:txbx>
                    <wps:bodyPr wrap="square" lIns="0" tIns="0" rIns="0" bIns="0" rtlCol="0">
                      <a:noAutofit/>
                    </wps:bodyPr>
                  </wps:wsp>
                </a:graphicData>
              </a:graphic>
            </wp:anchor>
          </w:drawing>
        </mc:Choice>
        <mc:Fallback>
          <w:pict>
            <v:shape style="position:absolute;margin-left:193pt;margin-top:38.674805pt;width:206pt;height:13.35pt;mso-position-horizontal-relative:page;mso-position-vertical-relative:page;z-index:-15800320" type="#_x0000_t202" id="docshape5" filled="false" stroked="false">
              <v:textbox inset="0,0,0,0">
                <w:txbxContent>
                  <w:p>
                    <w:pPr>
                      <w:pStyle w:val="BodyText"/>
                      <w:spacing w:before="20"/>
                      <w:ind w:left="20"/>
                    </w:pPr>
                    <w:r>
                      <w:rPr/>
                      <w:t>LDAP</w:t>
                    </w:r>
                    <w:r>
                      <w:rPr>
                        <w:spacing w:val="-8"/>
                      </w:rPr>
                      <w:t> </w:t>
                    </w:r>
                    <w:r>
                      <w:rPr/>
                      <w:t>Proxied</w:t>
                    </w:r>
                    <w:r>
                      <w:rPr>
                        <w:spacing w:val="-8"/>
                      </w:rPr>
                      <w:t> </w:t>
                    </w:r>
                    <w:r>
                      <w:rPr/>
                      <w:t>Authorization</w:t>
                    </w:r>
                    <w:r>
                      <w:rPr>
                        <w:spacing w:val="-8"/>
                      </w:rPr>
                      <w:t> </w:t>
                    </w:r>
                    <w:r>
                      <w:rPr>
                        <w:spacing w:val="-2"/>
                      </w:rPr>
                      <w:t>Control</w:t>
                    </w:r>
                  </w:p>
                </w:txbxContent>
              </v:textbox>
              <w10:wrap type="none"/>
            </v:shape>
          </w:pict>
        </mc:Fallback>
      </mc:AlternateContent>
    </w:r>
    <w:r>
      <w:rPr/>
      <mc:AlternateContent>
        <mc:Choice Requires="wps">
          <w:drawing>
            <wp:anchor distT="0" distB="0" distL="0" distR="0" allowOverlap="1" layoutInCell="1" locked="0" behindDoc="1" simplePos="0" relativeHeight="487516672">
              <wp:simplePos x="0" y="0"/>
              <wp:positionH relativeFrom="page">
                <wp:posOffset>5499100</wp:posOffset>
              </wp:positionH>
              <wp:positionV relativeFrom="page">
                <wp:posOffset>491170</wp:posOffset>
              </wp:positionV>
              <wp:extent cx="1016000"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016000" cy="169545"/>
                      </a:xfrm>
                      <a:prstGeom prst="rect">
                        <a:avLst/>
                      </a:prstGeom>
                    </wps:spPr>
                    <wps:txbx>
                      <w:txbxContent>
                        <w:p>
                          <w:pPr>
                            <w:pStyle w:val="BodyText"/>
                            <w:spacing w:before="20"/>
                            <w:ind w:left="20"/>
                          </w:pPr>
                          <w:r>
                            <w:rPr/>
                            <w:t>February</w:t>
                          </w:r>
                          <w:r>
                            <w:rPr>
                              <w:spacing w:val="-8"/>
                            </w:rPr>
                            <w:t> </w:t>
                          </w:r>
                          <w:r>
                            <w:rPr>
                              <w:spacing w:val="-4"/>
                            </w:rPr>
                            <w:t>2006</w:t>
                          </w:r>
                        </w:p>
                      </w:txbxContent>
                    </wps:txbx>
                    <wps:bodyPr wrap="square" lIns="0" tIns="0" rIns="0" bIns="0" rtlCol="0">
                      <a:noAutofit/>
                    </wps:bodyPr>
                  </wps:wsp>
                </a:graphicData>
              </a:graphic>
            </wp:anchor>
          </w:drawing>
        </mc:Choice>
        <mc:Fallback>
          <w:pict>
            <v:shape style="position:absolute;margin-left:433.000031pt;margin-top:38.674805pt;width:80pt;height:13.35pt;mso-position-horizontal-relative:page;mso-position-vertical-relative:page;z-index:-15799808" type="#_x0000_t202" id="docshape6" filled="false" stroked="false">
              <v:textbox inset="0,0,0,0">
                <w:txbxContent>
                  <w:p>
                    <w:pPr>
                      <w:pStyle w:val="BodyText"/>
                      <w:spacing w:before="20"/>
                      <w:ind w:left="20"/>
                    </w:pPr>
                    <w:r>
                      <w:rPr/>
                      <w:t>February</w:t>
                    </w:r>
                    <w:r>
                      <w:rPr>
                        <w:spacing w:val="-8"/>
                      </w:rPr>
                      <w:t> </w:t>
                    </w:r>
                    <w:r>
                      <w:rPr>
                        <w:spacing w:val="-4"/>
                      </w:rPr>
                      <w:t>2006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40" w:hanging="48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0"/>
      <w:numFmt w:val="bullet"/>
      <w:lvlText w:val="•"/>
      <w:lvlJc w:val="left"/>
      <w:pPr>
        <w:ind w:left="1476" w:hanging="480"/>
      </w:pPr>
      <w:rPr>
        <w:rFonts w:hint="default"/>
        <w:lang w:val="en-US" w:eastAsia="en-US" w:bidi="ar-SA"/>
      </w:rPr>
    </w:lvl>
    <w:lvl w:ilvl="2">
      <w:start w:val="0"/>
      <w:numFmt w:val="bullet"/>
      <w:lvlText w:val="•"/>
      <w:lvlJc w:val="left"/>
      <w:pPr>
        <w:ind w:left="2312" w:hanging="480"/>
      </w:pPr>
      <w:rPr>
        <w:rFonts w:hint="default"/>
        <w:lang w:val="en-US" w:eastAsia="en-US" w:bidi="ar-SA"/>
      </w:rPr>
    </w:lvl>
    <w:lvl w:ilvl="3">
      <w:start w:val="0"/>
      <w:numFmt w:val="bullet"/>
      <w:lvlText w:val="•"/>
      <w:lvlJc w:val="left"/>
      <w:pPr>
        <w:ind w:left="3148" w:hanging="480"/>
      </w:pPr>
      <w:rPr>
        <w:rFonts w:hint="default"/>
        <w:lang w:val="en-US" w:eastAsia="en-US" w:bidi="ar-SA"/>
      </w:rPr>
    </w:lvl>
    <w:lvl w:ilvl="4">
      <w:start w:val="0"/>
      <w:numFmt w:val="bullet"/>
      <w:lvlText w:val="•"/>
      <w:lvlJc w:val="left"/>
      <w:pPr>
        <w:ind w:left="3984" w:hanging="480"/>
      </w:pPr>
      <w:rPr>
        <w:rFonts w:hint="default"/>
        <w:lang w:val="en-US" w:eastAsia="en-US" w:bidi="ar-SA"/>
      </w:rPr>
    </w:lvl>
    <w:lvl w:ilvl="5">
      <w:start w:val="0"/>
      <w:numFmt w:val="bullet"/>
      <w:lvlText w:val="•"/>
      <w:lvlJc w:val="left"/>
      <w:pPr>
        <w:ind w:left="4820" w:hanging="480"/>
      </w:pPr>
      <w:rPr>
        <w:rFonts w:hint="default"/>
        <w:lang w:val="en-US" w:eastAsia="en-US" w:bidi="ar-SA"/>
      </w:rPr>
    </w:lvl>
    <w:lvl w:ilvl="6">
      <w:start w:val="0"/>
      <w:numFmt w:val="bullet"/>
      <w:lvlText w:val="•"/>
      <w:lvlJc w:val="left"/>
      <w:pPr>
        <w:ind w:left="5656" w:hanging="480"/>
      </w:pPr>
      <w:rPr>
        <w:rFonts w:hint="default"/>
        <w:lang w:val="en-US" w:eastAsia="en-US" w:bidi="ar-SA"/>
      </w:rPr>
    </w:lvl>
    <w:lvl w:ilvl="7">
      <w:start w:val="0"/>
      <w:numFmt w:val="bullet"/>
      <w:lvlText w:val="•"/>
      <w:lvlJc w:val="left"/>
      <w:pPr>
        <w:ind w:left="6492" w:hanging="480"/>
      </w:pPr>
      <w:rPr>
        <w:rFonts w:hint="default"/>
        <w:lang w:val="en-US" w:eastAsia="en-US" w:bidi="ar-SA"/>
      </w:rPr>
    </w:lvl>
    <w:lvl w:ilvl="8">
      <w:start w:val="0"/>
      <w:numFmt w:val="bullet"/>
      <w:lvlText w:val="•"/>
      <w:lvlJc w:val="left"/>
      <w:pPr>
        <w:ind w:left="7328" w:hanging="48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spacing w:before="221"/>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spacing w:before="90"/>
      <w:ind w:left="638" w:hanging="478"/>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mailto:robw@worldspot.com" TargetMode="External"/><Relationship Id="rId9" Type="http://schemas.openxmlformats.org/officeDocument/2006/relationships/hyperlink" Target="http://www.ietf.org/ipr" TargetMode="External"/><Relationship Id="rId10" Type="http://schemas.openxmlformats.org/officeDocument/2006/relationships/hyperlink" Target="mailto:ietf-ipr@ietf.org"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RFC Editor</dc:creator>
  <dc:title>Enscript Output</dc:title>
  <dcterms:created xsi:type="dcterms:W3CDTF">2026-01-19T03:25:56Z</dcterms:created>
  <dcterms:modified xsi:type="dcterms:W3CDTF">2026-01-19T03:25:56Z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GNU enscript 1.6.1</vt:lpwstr>
  </property>
  <property fmtid="{D5CDD505-2E9C-101B-9397-08002B2CF9AE}" pid="4" name="Producer">
    <vt:lpwstr>GNU Ghostscript 7.05</vt:lpwstr>
  </property>
  <property fmtid="{D5CDD505-2E9C-101B-9397-08002B2CF9AE}" pid="5" name="LastSaved">
    <vt:filetime>2026-01-19T00:00:00Z</vt:filetime>
  </property>
</Properties>
</file>