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319" w:val="left" w:leader="none"/>
        </w:tabs>
        <w:spacing w:line="223" w:lineRule="exact" w:before="73"/>
        <w:ind w:left="0" w:right="39"/>
        <w:jc w:val="center"/>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 w:pos="7719" w:val="left" w:leader="none"/>
        </w:tabs>
        <w:spacing w:line="232" w:lineRule="auto" w:before="2"/>
        <w:ind w:left="160" w:right="199"/>
        <w:jc w:val="center"/>
      </w:pPr>
      <w:r>
        <w:rPr/>
        <w:t>Request for Comments: 4529</w:t>
        <w:tab/>
        <w:t>OpenLDAP</w:t>
      </w:r>
      <w:r>
        <w:rPr>
          <w:spacing w:val="-32"/>
        </w:rPr>
        <w:t> </w:t>
      </w:r>
      <w:r>
        <w:rPr/>
        <w:t>Foundation Category:</w:t>
      </w:r>
      <w:r>
        <w:rPr>
          <w:spacing w:val="-9"/>
        </w:rPr>
        <w:t> </w:t>
      </w:r>
      <w:r>
        <w:rPr>
          <w:spacing w:val="-2"/>
        </w:rPr>
        <w:t>Informational</w:t>
      </w:r>
      <w:r>
        <w:rPr/>
        <w:tab/>
        <w:tab/>
        <w:t>June</w:t>
      </w:r>
      <w:r>
        <w:rPr>
          <w:spacing w:val="-4"/>
        </w:rPr>
        <w:t> </w:t>
      </w:r>
      <w:r>
        <w:rPr>
          <w:spacing w:val="-4"/>
        </w:rPr>
        <w:t>2006</w:t>
      </w:r>
    </w:p>
    <w:p>
      <w:pPr>
        <w:pStyle w:val="BodyText"/>
        <w:spacing w:before="214"/>
        <w:ind w:left="0"/>
      </w:pPr>
    </w:p>
    <w:p>
      <w:pPr>
        <w:pStyle w:val="BodyText"/>
        <w:spacing w:line="232" w:lineRule="auto" w:before="0"/>
        <w:ind w:left="1220" w:right="1259"/>
        <w:jc w:val="center"/>
      </w:pPr>
      <w:r>
        <w:rPr/>
        <w:t>Requesting</w:t>
      </w:r>
      <w:r>
        <w:rPr>
          <w:spacing w:val="-7"/>
        </w:rPr>
        <w:t> </w:t>
      </w:r>
      <w:r>
        <w:rPr/>
        <w:t>Attributes</w:t>
      </w:r>
      <w:r>
        <w:rPr>
          <w:spacing w:val="-7"/>
        </w:rPr>
        <w:t> </w:t>
      </w:r>
      <w:r>
        <w:rPr/>
        <w:t>by</w:t>
      </w:r>
      <w:r>
        <w:rPr>
          <w:spacing w:val="-7"/>
        </w:rPr>
        <w:t> </w:t>
      </w:r>
      <w:r>
        <w:rPr/>
        <w:t>Object</w:t>
      </w:r>
      <w:r>
        <w:rPr>
          <w:spacing w:val="-7"/>
        </w:rPr>
        <w:t> </w:t>
      </w:r>
      <w:r>
        <w:rPr/>
        <w:t>Class</w:t>
      </w:r>
      <w:r>
        <w:rPr>
          <w:spacing w:val="-7"/>
        </w:rPr>
        <w:t> </w:t>
      </w:r>
      <w:r>
        <w:rPr/>
        <w:t>in</w:t>
      </w:r>
      <w:r>
        <w:rPr>
          <w:spacing w:val="-7"/>
        </w:rPr>
        <w:t> </w:t>
      </w:r>
      <w:r>
        <w:rPr/>
        <w:t>the Lightweight</w:t>
      </w:r>
      <w:r>
        <w:rPr>
          <w:spacing w:val="-9"/>
        </w:rPr>
        <w:t> </w:t>
      </w:r>
      <w:r>
        <w:rPr/>
        <w:t>Directory</w:t>
      </w:r>
      <w:r>
        <w:rPr>
          <w:spacing w:val="-8"/>
        </w:rPr>
        <w:t> </w:t>
      </w:r>
      <w:r>
        <w:rPr/>
        <w:t>Access</w:t>
      </w:r>
      <w:r>
        <w:rPr>
          <w:spacing w:val="-9"/>
        </w:rPr>
        <w:t> </w:t>
      </w:r>
      <w:r>
        <w:rPr/>
        <w:t>Protocol</w:t>
      </w:r>
      <w:r>
        <w:rPr>
          <w:spacing w:val="-8"/>
        </w:rPr>
        <w:t> </w:t>
      </w:r>
      <w:r>
        <w:rPr>
          <w:spacing w:val="-2"/>
        </w:rPr>
        <w:t>(LDAP)</w:t>
      </w:r>
    </w:p>
    <w:p>
      <w:pPr>
        <w:pStyle w:val="BodyText"/>
        <w:spacing w:before="215"/>
        <w:ind w:left="160"/>
      </w:pPr>
      <w:r>
        <w:rPr/>
        <w:t>Status</w:t>
      </w:r>
      <w:r>
        <w:rPr>
          <w:spacing w:val="-4"/>
        </w:rPr>
        <w:t> </w:t>
      </w:r>
      <w:r>
        <w:rPr/>
        <w:t>of</w:t>
      </w:r>
      <w:r>
        <w:rPr>
          <w:spacing w:val="-4"/>
        </w:rPr>
        <w:t> </w:t>
      </w:r>
      <w:r>
        <w:rPr/>
        <w:t>This</w:t>
      </w:r>
      <w:r>
        <w:rPr>
          <w:spacing w:val="-4"/>
        </w:rPr>
        <w:t> Memo</w:t>
      </w:r>
    </w:p>
    <w:p>
      <w:pPr>
        <w:pStyle w:val="BodyText"/>
        <w:spacing w:line="232" w:lineRule="auto" w:before="219"/>
        <w:ind w:right="439"/>
        <w:jc w:val="both"/>
      </w:pPr>
      <w:r>
        <w:rPr/>
        <w:t>This</w:t>
      </w:r>
      <w:r>
        <w:rPr>
          <w:spacing w:val="-5"/>
        </w:rPr>
        <w:t> </w:t>
      </w:r>
      <w:r>
        <w:rPr/>
        <w:t>memo</w:t>
      </w:r>
      <w:r>
        <w:rPr>
          <w:spacing w:val="-5"/>
        </w:rPr>
        <w:t> </w:t>
      </w:r>
      <w:r>
        <w:rPr/>
        <w:t>provides</w:t>
      </w:r>
      <w:r>
        <w:rPr>
          <w:spacing w:val="-5"/>
        </w:rPr>
        <w:t> </w:t>
      </w:r>
      <w:r>
        <w:rPr/>
        <w:t>information</w:t>
      </w:r>
      <w:r>
        <w:rPr>
          <w:spacing w:val="-5"/>
        </w:rPr>
        <w:t> </w:t>
      </w:r>
      <w:r>
        <w:rPr/>
        <w:t>for</w:t>
      </w:r>
      <w:r>
        <w:rPr>
          <w:spacing w:val="-5"/>
        </w:rPr>
        <w:t> </w:t>
      </w:r>
      <w:r>
        <w:rPr/>
        <w:t>the</w:t>
      </w:r>
      <w:r>
        <w:rPr>
          <w:spacing w:val="-5"/>
        </w:rPr>
        <w:t> </w:t>
      </w:r>
      <w:r>
        <w:rPr/>
        <w:t>Internet</w:t>
      </w:r>
      <w:r>
        <w:rPr>
          <w:spacing w:val="-5"/>
        </w:rPr>
        <w:t> </w:t>
      </w:r>
      <w:r>
        <w:rPr/>
        <w:t>community.</w:t>
      </w:r>
      <w:r>
        <w:rPr>
          <w:spacing w:val="80"/>
        </w:rPr>
        <w:t> </w:t>
      </w:r>
      <w:r>
        <w:rPr/>
        <w:t>It</w:t>
      </w:r>
      <w:r>
        <w:rPr>
          <w:spacing w:val="-5"/>
        </w:rPr>
        <w:t> </w:t>
      </w:r>
      <w:r>
        <w:rPr/>
        <w:t>does not</w:t>
      </w:r>
      <w:r>
        <w:rPr>
          <w:spacing w:val="-4"/>
        </w:rPr>
        <w:t> </w:t>
      </w:r>
      <w:r>
        <w:rPr/>
        <w:t>specify</w:t>
      </w:r>
      <w:r>
        <w:rPr>
          <w:spacing w:val="-4"/>
        </w:rPr>
        <w:t> </w:t>
      </w:r>
      <w:r>
        <w:rPr/>
        <w:t>an</w:t>
      </w:r>
      <w:r>
        <w:rPr>
          <w:spacing w:val="-4"/>
        </w:rPr>
        <w:t> </w:t>
      </w:r>
      <w:r>
        <w:rPr/>
        <w:t>Internet</w:t>
      </w:r>
      <w:r>
        <w:rPr>
          <w:spacing w:val="-4"/>
        </w:rPr>
        <w:t> </w:t>
      </w:r>
      <w:r>
        <w:rPr/>
        <w:t>standard</w:t>
      </w:r>
      <w:r>
        <w:rPr>
          <w:spacing w:val="-4"/>
        </w:rPr>
        <w:t> </w:t>
      </w:r>
      <w:r>
        <w:rPr/>
        <w:t>of</w:t>
      </w:r>
      <w:r>
        <w:rPr>
          <w:spacing w:val="-4"/>
        </w:rPr>
        <w:t> </w:t>
      </w:r>
      <w:r>
        <w:rPr/>
        <w:t>any</w:t>
      </w:r>
      <w:r>
        <w:rPr>
          <w:spacing w:val="-4"/>
        </w:rPr>
        <w:t> </w:t>
      </w:r>
      <w:r>
        <w:rPr/>
        <w:t>kind.</w:t>
      </w:r>
      <w:r>
        <w:rPr>
          <w:spacing w:val="80"/>
        </w:rPr>
        <w:t> </w:t>
      </w:r>
      <w:r>
        <w:rPr/>
        <w:t>Distribution</w:t>
      </w:r>
      <w:r>
        <w:rPr>
          <w:spacing w:val="-4"/>
        </w:rPr>
        <w:t> </w:t>
      </w:r>
      <w:r>
        <w:rPr/>
        <w:t>of</w:t>
      </w:r>
      <w:r>
        <w:rPr>
          <w:spacing w:val="-4"/>
        </w:rPr>
        <w:t> </w:t>
      </w:r>
      <w:r>
        <w:rPr/>
        <w:t>this memo is unlimited.</w:t>
      </w:r>
    </w:p>
    <w:p>
      <w:pPr>
        <w:pStyle w:val="BodyText"/>
        <w:spacing w:before="215"/>
        <w:ind w:left="160"/>
      </w:pPr>
      <w:r>
        <w:rPr/>
        <w:t>Copyright</w:t>
      </w:r>
      <w:r>
        <w:rPr>
          <w:spacing w:val="-9"/>
        </w:rPr>
        <w:t> </w:t>
      </w:r>
      <w:r>
        <w:rPr>
          <w:spacing w:val="-2"/>
        </w:rPr>
        <w:t>Notice</w:t>
      </w:r>
    </w:p>
    <w:p>
      <w:pPr>
        <w:pStyle w:val="BodyText"/>
        <w:spacing w:before="214"/>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199"/>
      </w:pPr>
      <w:r>
        <w:rPr/>
        <w:t>The Lightweight Directory Access Protocol (LDAP) search operation provides mechanisms for clients to request all user application attributes,</w:t>
      </w:r>
      <w:r>
        <w:rPr>
          <w:spacing w:val="-6"/>
        </w:rPr>
        <w:t> </w:t>
      </w:r>
      <w:r>
        <w:rPr/>
        <w:t>all</w:t>
      </w:r>
      <w:r>
        <w:rPr>
          <w:spacing w:val="-6"/>
        </w:rPr>
        <w:t> </w:t>
      </w:r>
      <w:r>
        <w:rPr/>
        <w:t>operational</w:t>
      </w:r>
      <w:r>
        <w:rPr>
          <w:spacing w:val="-6"/>
        </w:rPr>
        <w:t> </w:t>
      </w:r>
      <w:r>
        <w:rPr/>
        <w:t>attributes,</w:t>
      </w:r>
      <w:r>
        <w:rPr>
          <w:spacing w:val="-6"/>
        </w:rPr>
        <w:t> </w:t>
      </w:r>
      <w:r>
        <w:rPr/>
        <w:t>and/or</w:t>
      </w:r>
      <w:r>
        <w:rPr>
          <w:spacing w:val="-6"/>
        </w:rPr>
        <w:t> </w:t>
      </w:r>
      <w:r>
        <w:rPr/>
        <w:t>attributes</w:t>
      </w:r>
      <w:r>
        <w:rPr>
          <w:spacing w:val="-6"/>
        </w:rPr>
        <w:t> </w:t>
      </w:r>
      <w:r>
        <w:rPr/>
        <w:t>selected</w:t>
      </w:r>
      <w:r>
        <w:rPr>
          <w:spacing w:val="-6"/>
        </w:rPr>
        <w:t> </w:t>
      </w:r>
      <w:r>
        <w:rPr/>
        <w:t>by their</w:t>
      </w:r>
      <w:r>
        <w:rPr>
          <w:spacing w:val="-5"/>
        </w:rPr>
        <w:t> </w:t>
      </w:r>
      <w:r>
        <w:rPr/>
        <w:t>description.</w:t>
      </w:r>
      <w:r>
        <w:rPr>
          <w:spacing w:val="80"/>
        </w:rPr>
        <w:t> </w:t>
      </w:r>
      <w:r>
        <w:rPr/>
        <w:t>This</w:t>
      </w:r>
      <w:r>
        <w:rPr>
          <w:spacing w:val="-5"/>
        </w:rPr>
        <w:t> </w:t>
      </w:r>
      <w:r>
        <w:rPr/>
        <w:t>document</w:t>
      </w:r>
      <w:r>
        <w:rPr>
          <w:spacing w:val="-5"/>
        </w:rPr>
        <w:t> </w:t>
      </w:r>
      <w:r>
        <w:rPr/>
        <w:t>extends</w:t>
      </w:r>
      <w:r>
        <w:rPr>
          <w:spacing w:val="-5"/>
        </w:rPr>
        <w:t> </w:t>
      </w:r>
      <w:r>
        <w:rPr/>
        <w:t>LDAP</w:t>
      </w:r>
      <w:r>
        <w:rPr>
          <w:spacing w:val="-5"/>
        </w:rPr>
        <w:t> </w:t>
      </w:r>
      <w:r>
        <w:rPr/>
        <w:t>to</w:t>
      </w:r>
      <w:r>
        <w:rPr>
          <w:spacing w:val="-5"/>
        </w:rPr>
        <w:t> </w:t>
      </w:r>
      <w:r>
        <w:rPr/>
        <w:t>support</w:t>
      </w:r>
      <w:r>
        <w:rPr>
          <w:spacing w:val="-5"/>
        </w:rPr>
        <w:t> </w:t>
      </w:r>
      <w:r>
        <w:rPr/>
        <w:t>a</w:t>
      </w:r>
      <w:r>
        <w:rPr>
          <w:spacing w:val="-5"/>
        </w:rPr>
        <w:t> </w:t>
      </w:r>
      <w:r>
        <w:rPr/>
        <w:t>mechanism that LDAP clients may use to request the return of all attributes of an object class.</w:t>
      </w:r>
    </w:p>
    <w:p>
      <w:pPr>
        <w:pStyle w:val="BodyText"/>
        <w:spacing w:before="216"/>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4" w:after="0"/>
        <w:ind w:left="878" w:right="0" w:hanging="35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5"/>
          <w:sz w:val="20"/>
        </w:rPr>
        <w:t>Use</w:t>
      </w:r>
      <w:r>
        <w:rPr>
          <w:sz w:val="20"/>
        </w:rPr>
        <w:tab/>
      </w:r>
      <w:r>
        <w:rPr>
          <w:spacing w:val="-10"/>
          <w:sz w:val="20"/>
        </w:rPr>
        <w:t>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Terminology</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Return</w:t>
      </w:r>
      <w:r>
        <w:rPr>
          <w:spacing w:val="-7"/>
          <w:sz w:val="20"/>
        </w:rPr>
        <w:t> </w:t>
      </w:r>
      <w:r>
        <w:rPr>
          <w:sz w:val="20"/>
        </w:rPr>
        <w:t>of</w:t>
      </w:r>
      <w:r>
        <w:rPr>
          <w:spacing w:val="-4"/>
          <w:sz w:val="20"/>
        </w:rPr>
        <w:t> </w:t>
      </w:r>
      <w:r>
        <w:rPr>
          <w:sz w:val="20"/>
        </w:rPr>
        <w:t>all</w:t>
      </w:r>
      <w:r>
        <w:rPr>
          <w:spacing w:val="-5"/>
          <w:sz w:val="20"/>
        </w:rPr>
        <w:t> </w:t>
      </w:r>
      <w:r>
        <w:rPr>
          <w:sz w:val="20"/>
        </w:rPr>
        <w:t>Attributes</w:t>
      </w:r>
      <w:r>
        <w:rPr>
          <w:spacing w:val="-4"/>
          <w:sz w:val="20"/>
        </w:rPr>
        <w:t> </w:t>
      </w:r>
      <w:r>
        <w:rPr>
          <w:sz w:val="20"/>
        </w:rPr>
        <w:t>of</w:t>
      </w:r>
      <w:r>
        <w:rPr>
          <w:spacing w:val="-5"/>
          <w:sz w:val="20"/>
        </w:rPr>
        <w:t> </w:t>
      </w:r>
      <w:r>
        <w:rPr>
          <w:sz w:val="20"/>
        </w:rPr>
        <w:t>an</w:t>
      </w:r>
      <w:r>
        <w:rPr>
          <w:spacing w:val="-4"/>
          <w:sz w:val="20"/>
        </w:rPr>
        <w:t> </w:t>
      </w:r>
      <w:r>
        <w:rPr>
          <w:sz w:val="20"/>
        </w:rPr>
        <w:t>Object</w:t>
      </w:r>
      <w:r>
        <w:rPr>
          <w:spacing w:val="-4"/>
          <w:sz w:val="20"/>
        </w:rPr>
        <w:t> Class</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10"/>
          <w:sz w:val="20"/>
        </w:rPr>
        <w:t>4</w:t>
      </w:r>
    </w:p>
    <w:p>
      <w:pPr>
        <w:pStyle w:val="ListParagraph"/>
        <w:numPr>
          <w:ilvl w:val="1"/>
          <w:numId w:val="1"/>
        </w:numPr>
        <w:tabs>
          <w:tab w:pos="1476" w:val="left" w:leader="none"/>
          <w:tab w:pos="8799" w:val="right" w:leader="dot"/>
        </w:tabs>
        <w:spacing w:line="223"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10"/>
          <w:sz w:val="20"/>
        </w:rPr>
        <w:t>4</w:t>
      </w:r>
    </w:p>
    <w:p>
      <w:pPr>
        <w:pStyle w:val="ListParagraph"/>
        <w:numPr>
          <w:ilvl w:val="0"/>
          <w:numId w:val="2"/>
        </w:numPr>
        <w:tabs>
          <w:tab w:pos="638" w:val="left" w:leader="none"/>
        </w:tabs>
        <w:spacing w:line="240" w:lineRule="auto" w:before="213" w:after="0"/>
        <w:ind w:left="638" w:right="0" w:hanging="47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5"/>
          <w:sz w:val="20"/>
        </w:rPr>
        <w:t>Use</w:t>
      </w:r>
    </w:p>
    <w:p>
      <w:pPr>
        <w:pStyle w:val="BodyText"/>
        <w:spacing w:line="232" w:lineRule="auto" w:before="218"/>
        <w:ind w:right="199"/>
      </w:pPr>
      <w:r>
        <w:rPr/>
        <w:t>In the Lightweight Directory Access Protocol (LDAP) [RFC4510], the search</w:t>
      </w:r>
      <w:r>
        <w:rPr>
          <w:spacing w:val="-5"/>
        </w:rPr>
        <w:t> </w:t>
      </w:r>
      <w:r>
        <w:rPr/>
        <w:t>operation</w:t>
      </w:r>
      <w:r>
        <w:rPr>
          <w:spacing w:val="-5"/>
        </w:rPr>
        <w:t> </w:t>
      </w:r>
      <w:r>
        <w:rPr/>
        <w:t>[RFC4511]</w:t>
      </w:r>
      <w:r>
        <w:rPr>
          <w:spacing w:val="-5"/>
        </w:rPr>
        <w:t> </w:t>
      </w:r>
      <w:r>
        <w:rPr/>
        <w:t>supports</w:t>
      </w:r>
      <w:r>
        <w:rPr>
          <w:spacing w:val="-5"/>
        </w:rPr>
        <w:t> </w:t>
      </w:r>
      <w:r>
        <w:rPr/>
        <w:t>requesting</w:t>
      </w:r>
      <w:r>
        <w:rPr>
          <w:spacing w:val="-5"/>
        </w:rPr>
        <w:t> </w:t>
      </w:r>
      <w:r>
        <w:rPr/>
        <w:t>the</w:t>
      </w:r>
      <w:r>
        <w:rPr>
          <w:spacing w:val="-5"/>
        </w:rPr>
        <w:t> </w:t>
      </w:r>
      <w:r>
        <w:rPr/>
        <w:t>return</w:t>
      </w:r>
      <w:r>
        <w:rPr>
          <w:spacing w:val="-5"/>
        </w:rPr>
        <w:t> </w:t>
      </w:r>
      <w:r>
        <w:rPr/>
        <w:t>of</w:t>
      </w:r>
      <w:r>
        <w:rPr>
          <w:spacing w:val="-5"/>
        </w:rPr>
        <w:t> </w:t>
      </w:r>
      <w:r>
        <w:rPr/>
        <w:t>a</w:t>
      </w:r>
      <w:r>
        <w:rPr>
          <w:spacing w:val="-5"/>
        </w:rPr>
        <w:t> </w:t>
      </w:r>
      <w:r>
        <w:rPr/>
        <w:t>set</w:t>
      </w:r>
      <w:r>
        <w:rPr>
          <w:spacing w:val="-5"/>
        </w:rPr>
        <w:t> </w:t>
      </w:r>
      <w:r>
        <w:rPr/>
        <w:t>of attributes.</w:t>
      </w:r>
      <w:r>
        <w:rPr>
          <w:spacing w:val="80"/>
        </w:rPr>
        <w:t> </w:t>
      </w:r>
      <w:r>
        <w:rPr/>
        <w:t>This set is determined by a list of attribute descriptions.</w:t>
      </w:r>
      <w:r>
        <w:rPr>
          <w:spacing w:val="80"/>
          <w:w w:val="150"/>
        </w:rPr>
        <w:t> </w:t>
      </w:r>
      <w:r>
        <w:rPr/>
        <w:t>Two special descriptors are defined to request all user attributes ("*") [RFC4511] and all operational attributes ("+") [RFC3673].</w:t>
      </w:r>
      <w:r>
        <w:rPr>
          <w:spacing w:val="80"/>
        </w:rPr>
        <w:t> </w:t>
      </w:r>
      <w:r>
        <w:rPr/>
        <w:t>However, there is no convenient mechanism for requesting pre-defined sets of attributes such as the set of attributes used to represent a particular class of object.</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199"/>
      </w:pPr>
      <w:r>
        <w:rPr/>
        <w:t>This document extends LDAP to allow an object class identifier to be specified</w:t>
      </w:r>
      <w:r>
        <w:rPr>
          <w:spacing w:val="-5"/>
        </w:rPr>
        <w:t> </w:t>
      </w:r>
      <w:r>
        <w:rPr/>
        <w:t>in</w:t>
      </w:r>
      <w:r>
        <w:rPr>
          <w:spacing w:val="-5"/>
        </w:rPr>
        <w:t> </w:t>
      </w:r>
      <w:r>
        <w:rPr/>
        <w:t>attributes</w:t>
      </w:r>
      <w:r>
        <w:rPr>
          <w:spacing w:val="-5"/>
        </w:rPr>
        <w:t> </w:t>
      </w:r>
      <w:r>
        <w:rPr/>
        <w:t>lists,</w:t>
      </w:r>
      <w:r>
        <w:rPr>
          <w:spacing w:val="-5"/>
        </w:rPr>
        <w:t> </w:t>
      </w:r>
      <w:r>
        <w:rPr/>
        <w:t>such</w:t>
      </w:r>
      <w:r>
        <w:rPr>
          <w:spacing w:val="-5"/>
        </w:rPr>
        <w:t> </w:t>
      </w:r>
      <w:r>
        <w:rPr/>
        <w:t>as</w:t>
      </w:r>
      <w:r>
        <w:rPr>
          <w:spacing w:val="-5"/>
        </w:rPr>
        <w:t> </w:t>
      </w:r>
      <w:r>
        <w:rPr/>
        <w:t>in</w:t>
      </w:r>
      <w:r>
        <w:rPr>
          <w:spacing w:val="-5"/>
        </w:rPr>
        <w:t> </w:t>
      </w:r>
      <w:r>
        <w:rPr/>
        <w:t>Search</w:t>
      </w:r>
      <w:r>
        <w:rPr>
          <w:spacing w:val="-5"/>
        </w:rPr>
        <w:t> </w:t>
      </w:r>
      <w:r>
        <w:rPr/>
        <w:t>requests,</w:t>
      </w:r>
      <w:r>
        <w:rPr>
          <w:spacing w:val="-5"/>
        </w:rPr>
        <w:t> </w:t>
      </w:r>
      <w:r>
        <w:rPr/>
        <w:t>to</w:t>
      </w:r>
      <w:r>
        <w:rPr>
          <w:spacing w:val="-5"/>
        </w:rPr>
        <w:t> </w:t>
      </w:r>
      <w:r>
        <w:rPr/>
        <w:t>request the return of all attributes belonging to an object class.</w:t>
      </w:r>
      <w:r>
        <w:rPr>
          <w:spacing w:val="80"/>
        </w:rPr>
        <w:t> </w:t>
      </w:r>
      <w:r>
        <w:rPr/>
        <w:t>The COMMERCIAL AT ("@", U+0040) character is used to distinguish an object class identifier from an attribute descriptions.</w:t>
      </w:r>
    </w:p>
    <w:p>
      <w:pPr>
        <w:pStyle w:val="BodyText"/>
        <w:spacing w:line="232" w:lineRule="auto"/>
        <w:ind w:right="439"/>
      </w:pPr>
      <w:r>
        <w:rPr/>
        <w:t>For</w:t>
      </w:r>
      <w:r>
        <w:rPr>
          <w:spacing w:val="-5"/>
        </w:rPr>
        <w:t> </w:t>
      </w:r>
      <w:r>
        <w:rPr/>
        <w:t>example,</w:t>
      </w:r>
      <w:r>
        <w:rPr>
          <w:spacing w:val="-5"/>
        </w:rPr>
        <w:t> </w:t>
      </w:r>
      <w:r>
        <w:rPr/>
        <w:t>the</w:t>
      </w:r>
      <w:r>
        <w:rPr>
          <w:spacing w:val="-5"/>
        </w:rPr>
        <w:t> </w:t>
      </w:r>
      <w:r>
        <w:rPr/>
        <w:t>attribute</w:t>
      </w:r>
      <w:r>
        <w:rPr>
          <w:spacing w:val="-5"/>
        </w:rPr>
        <w:t> </w:t>
      </w:r>
      <w:r>
        <w:rPr/>
        <w:t>list</w:t>
      </w:r>
      <w:r>
        <w:rPr>
          <w:spacing w:val="-5"/>
        </w:rPr>
        <w:t> </w:t>
      </w:r>
      <w:r>
        <w:rPr/>
        <w:t>of</w:t>
      </w:r>
      <w:r>
        <w:rPr>
          <w:spacing w:val="-5"/>
        </w:rPr>
        <w:t> </w:t>
      </w:r>
      <w:r>
        <w:rPr/>
        <w:t>"@country"</w:t>
      </w:r>
      <w:r>
        <w:rPr>
          <w:spacing w:val="-5"/>
        </w:rPr>
        <w:t> </w:t>
      </w:r>
      <w:r>
        <w:rPr/>
        <w:t>is</w:t>
      </w:r>
      <w:r>
        <w:rPr>
          <w:spacing w:val="-5"/>
        </w:rPr>
        <w:t> </w:t>
      </w:r>
      <w:r>
        <w:rPr/>
        <w:t>equivalent</w:t>
      </w:r>
      <w:r>
        <w:rPr>
          <w:spacing w:val="-5"/>
        </w:rPr>
        <w:t> </w:t>
      </w:r>
      <w:r>
        <w:rPr/>
        <w:t>to</w:t>
      </w:r>
      <w:r>
        <w:rPr>
          <w:spacing w:val="-5"/>
        </w:rPr>
        <w:t> </w:t>
      </w:r>
      <w:r>
        <w:rPr/>
        <w:t>the attribute list of ’c’, ’searchGuide’, ’description’, and ’objectClass’.</w:t>
      </w:r>
      <w:r>
        <w:rPr>
          <w:spacing w:val="80"/>
        </w:rPr>
        <w:t> </w:t>
      </w:r>
      <w:r>
        <w:rPr/>
        <w:t>This object class is described in [RFC4519].</w:t>
      </w:r>
    </w:p>
    <w:p>
      <w:pPr>
        <w:pStyle w:val="BodyText"/>
        <w:spacing w:line="232" w:lineRule="auto"/>
        <w:ind w:right="199"/>
      </w:pPr>
      <w:r>
        <w:rPr/>
        <w:t>This extension is intended primarily to be used where the user is in direct control of the parameters of the LDAP search operation, for instance</w:t>
      </w:r>
      <w:r>
        <w:rPr>
          <w:spacing w:val="-4"/>
        </w:rPr>
        <w:t> </w:t>
      </w:r>
      <w:r>
        <w:rPr/>
        <w:t>when</w:t>
      </w:r>
      <w:r>
        <w:rPr>
          <w:spacing w:val="-4"/>
        </w:rPr>
        <w:t> </w:t>
      </w:r>
      <w:r>
        <w:rPr/>
        <w:t>entering</w:t>
      </w:r>
      <w:r>
        <w:rPr>
          <w:spacing w:val="-4"/>
        </w:rPr>
        <w:t> </w:t>
      </w:r>
      <w:r>
        <w:rPr/>
        <w:t>an</w:t>
      </w:r>
      <w:r>
        <w:rPr>
          <w:spacing w:val="-4"/>
        </w:rPr>
        <w:t> </w:t>
      </w:r>
      <w:r>
        <w:rPr/>
        <w:t>LDAP</w:t>
      </w:r>
      <w:r>
        <w:rPr>
          <w:spacing w:val="-4"/>
        </w:rPr>
        <w:t> </w:t>
      </w:r>
      <w:r>
        <w:rPr/>
        <w:t>URL</w:t>
      </w:r>
      <w:r>
        <w:rPr>
          <w:spacing w:val="-4"/>
        </w:rPr>
        <w:t> </w:t>
      </w:r>
      <w:r>
        <w:rPr/>
        <w:t>[RFC4516]</w:t>
      </w:r>
      <w:r>
        <w:rPr>
          <w:spacing w:val="-4"/>
        </w:rPr>
        <w:t> </w:t>
      </w:r>
      <w:r>
        <w:rPr/>
        <w:t>into</w:t>
      </w:r>
      <w:r>
        <w:rPr>
          <w:spacing w:val="-4"/>
        </w:rPr>
        <w:t> </w:t>
      </w:r>
      <w:r>
        <w:rPr/>
        <w:t>a</w:t>
      </w:r>
      <w:r>
        <w:rPr>
          <w:spacing w:val="-4"/>
        </w:rPr>
        <w:t> </w:t>
      </w:r>
      <w:r>
        <w:rPr/>
        <w:t>web</w:t>
      </w:r>
      <w:r>
        <w:rPr>
          <w:spacing w:val="-4"/>
        </w:rPr>
        <w:t> </w:t>
      </w:r>
      <w:r>
        <w:rPr/>
        <w:t>browser,</w:t>
      </w:r>
      <w:r>
        <w:rPr>
          <w:spacing w:val="-4"/>
        </w:rPr>
        <w:t> </w:t>
      </w:r>
      <w:r>
        <w:rPr/>
        <w:t>such as &lt;ldap:///dc=example,dc=com?@organization?base&gt;.</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Terminology</w:t>
      </w:r>
    </w:p>
    <w:p>
      <w:pPr>
        <w:pStyle w:val="BodyText"/>
        <w:spacing w:line="232" w:lineRule="auto" w:before="218"/>
      </w:pPr>
      <w:r>
        <w:rPr/>
        <w:t>In this document, the key words "MUST", "MUST NOT", "REQUIRED", "SHALL",</w:t>
      </w:r>
      <w:r>
        <w:rPr>
          <w:spacing w:val="-6"/>
        </w:rPr>
        <w:t> </w:t>
      </w:r>
      <w:r>
        <w:rPr/>
        <w:t>"SHALL</w:t>
      </w:r>
      <w:r>
        <w:rPr>
          <w:spacing w:val="-6"/>
        </w:rPr>
        <w:t> </w:t>
      </w:r>
      <w:r>
        <w:rPr/>
        <w:t>NOT",</w:t>
      </w:r>
      <w:r>
        <w:rPr>
          <w:spacing w:val="-6"/>
        </w:rPr>
        <w:t> </w:t>
      </w:r>
      <w:r>
        <w:rPr/>
        <w:t>"SHOULD",</w:t>
      </w:r>
      <w:r>
        <w:rPr>
          <w:spacing w:val="-6"/>
        </w:rPr>
        <w:t> </w:t>
      </w:r>
      <w:r>
        <w:rPr/>
        <w:t>"SHOULD</w:t>
      </w:r>
      <w:r>
        <w:rPr>
          <w:spacing w:val="-6"/>
        </w:rPr>
        <w:t> </w:t>
      </w:r>
      <w:r>
        <w:rPr/>
        <w:t>NOT",</w:t>
      </w:r>
      <w:r>
        <w:rPr>
          <w:spacing w:val="-6"/>
        </w:rPr>
        <w:t> </w:t>
      </w:r>
      <w:r>
        <w:rPr/>
        <w:t>"RECOMMENDED",</w:t>
      </w:r>
      <w:r>
        <w:rPr>
          <w:spacing w:val="-6"/>
        </w:rPr>
        <w:t> </w:t>
      </w:r>
      <w:r>
        <w:rPr/>
        <w:t>"MAY",</w:t>
      </w:r>
    </w:p>
    <w:p>
      <w:pPr>
        <w:pStyle w:val="BodyText"/>
        <w:spacing w:line="232" w:lineRule="auto" w:before="0"/>
        <w:ind w:right="439"/>
      </w:pPr>
      <w:r>
        <w:rPr/>
        <w:t>and</w:t>
      </w:r>
      <w:r>
        <w:rPr>
          <w:spacing w:val="-5"/>
        </w:rPr>
        <w:t> </w:t>
      </w:r>
      <w:r>
        <w:rPr/>
        <w:t>"OPTIONAL"</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w:t>
      </w:r>
      <w:r>
        <w:rPr>
          <w:spacing w:val="-5"/>
        </w:rPr>
        <w:t> </w:t>
      </w:r>
      <w:r>
        <w:rPr/>
        <w:t>BCP</w:t>
      </w:r>
      <w:r>
        <w:rPr>
          <w:spacing w:val="-5"/>
        </w:rPr>
        <w:t> </w:t>
      </w:r>
      <w:r>
        <w:rPr/>
        <w:t>14 </w:t>
      </w:r>
      <w:r>
        <w:rPr>
          <w:spacing w:val="-2"/>
        </w:rPr>
        <w:t>[RFC2119].</w:t>
      </w:r>
    </w:p>
    <w:p>
      <w:pPr>
        <w:pStyle w:val="BodyText"/>
        <w:spacing w:line="232" w:lineRule="auto"/>
        <w:ind w:right="2180"/>
      </w:pPr>
      <w:r>
        <w:rPr/>
        <w:t>DSA</w:t>
      </w:r>
      <w:r>
        <w:rPr>
          <w:spacing w:val="-6"/>
        </w:rPr>
        <w:t> </w:t>
      </w:r>
      <w:r>
        <w:rPr/>
        <w:t>stands</w:t>
      </w:r>
      <w:r>
        <w:rPr>
          <w:spacing w:val="-6"/>
        </w:rPr>
        <w:t> </w:t>
      </w:r>
      <w:r>
        <w:rPr/>
        <w:t>for</w:t>
      </w:r>
      <w:r>
        <w:rPr>
          <w:spacing w:val="-6"/>
        </w:rPr>
        <w:t> </w:t>
      </w:r>
      <w:r>
        <w:rPr/>
        <w:t>Directory</w:t>
      </w:r>
      <w:r>
        <w:rPr>
          <w:spacing w:val="-6"/>
        </w:rPr>
        <w:t> </w:t>
      </w:r>
      <w:r>
        <w:rPr/>
        <w:t>System</w:t>
      </w:r>
      <w:r>
        <w:rPr>
          <w:spacing w:val="-6"/>
        </w:rPr>
        <w:t> </w:t>
      </w:r>
      <w:r>
        <w:rPr/>
        <w:t>Agent</w:t>
      </w:r>
      <w:r>
        <w:rPr>
          <w:spacing w:val="-6"/>
        </w:rPr>
        <w:t> </w:t>
      </w:r>
      <w:r>
        <w:rPr/>
        <w:t>(or</w:t>
      </w:r>
      <w:r>
        <w:rPr>
          <w:spacing w:val="-6"/>
        </w:rPr>
        <w:t> </w:t>
      </w:r>
      <w:r>
        <w:rPr/>
        <w:t>server). DSE stands for DSA-specific Entry.</w:t>
      </w:r>
    </w:p>
    <w:p>
      <w:pPr>
        <w:pStyle w:val="ListParagraph"/>
        <w:numPr>
          <w:ilvl w:val="0"/>
          <w:numId w:val="2"/>
        </w:numPr>
        <w:tabs>
          <w:tab w:pos="638" w:val="left" w:leader="none"/>
        </w:tabs>
        <w:spacing w:line="240" w:lineRule="auto" w:before="215" w:after="0"/>
        <w:ind w:left="638" w:right="0" w:hanging="478"/>
        <w:jc w:val="left"/>
        <w:rPr>
          <w:sz w:val="20"/>
        </w:rPr>
      </w:pPr>
      <w:r>
        <w:rPr>
          <w:sz w:val="20"/>
        </w:rPr>
        <w:t>Return</w:t>
      </w:r>
      <w:r>
        <w:rPr>
          <w:spacing w:val="-7"/>
          <w:sz w:val="20"/>
        </w:rPr>
        <w:t> </w:t>
      </w:r>
      <w:r>
        <w:rPr>
          <w:sz w:val="20"/>
        </w:rPr>
        <w:t>of</w:t>
      </w:r>
      <w:r>
        <w:rPr>
          <w:spacing w:val="-4"/>
          <w:sz w:val="20"/>
        </w:rPr>
        <w:t> </w:t>
      </w:r>
      <w:r>
        <w:rPr>
          <w:sz w:val="20"/>
        </w:rPr>
        <w:t>All</w:t>
      </w:r>
      <w:r>
        <w:rPr>
          <w:spacing w:val="-5"/>
          <w:sz w:val="20"/>
        </w:rPr>
        <w:t> </w:t>
      </w:r>
      <w:r>
        <w:rPr>
          <w:sz w:val="20"/>
        </w:rPr>
        <w:t>Attributes</w:t>
      </w:r>
      <w:r>
        <w:rPr>
          <w:spacing w:val="-4"/>
          <w:sz w:val="20"/>
        </w:rPr>
        <w:t> </w:t>
      </w:r>
      <w:r>
        <w:rPr>
          <w:sz w:val="20"/>
        </w:rPr>
        <w:t>of</w:t>
      </w:r>
      <w:r>
        <w:rPr>
          <w:spacing w:val="-5"/>
          <w:sz w:val="20"/>
        </w:rPr>
        <w:t> </w:t>
      </w:r>
      <w:r>
        <w:rPr>
          <w:sz w:val="20"/>
        </w:rPr>
        <w:t>an</w:t>
      </w:r>
      <w:r>
        <w:rPr>
          <w:spacing w:val="-4"/>
          <w:sz w:val="20"/>
        </w:rPr>
        <w:t> </w:t>
      </w:r>
      <w:r>
        <w:rPr>
          <w:sz w:val="20"/>
        </w:rPr>
        <w:t>Object</w:t>
      </w:r>
      <w:r>
        <w:rPr>
          <w:spacing w:val="-4"/>
          <w:sz w:val="20"/>
        </w:rPr>
        <w:t> Class</w:t>
      </w:r>
    </w:p>
    <w:p>
      <w:pPr>
        <w:pStyle w:val="BodyText"/>
        <w:spacing w:line="232" w:lineRule="auto" w:before="219"/>
        <w:ind w:right="199"/>
      </w:pPr>
      <w:r>
        <w:rPr/>
        <w:t>This extension allows object class identifiers to be provided in the attributes</w:t>
      </w:r>
      <w:r>
        <w:rPr>
          <w:spacing w:val="-5"/>
        </w:rPr>
        <w:t> </w:t>
      </w:r>
      <w:r>
        <w:rPr/>
        <w:t>field</w:t>
      </w:r>
      <w:r>
        <w:rPr>
          <w:spacing w:val="-5"/>
        </w:rPr>
        <w:t> </w:t>
      </w:r>
      <w:r>
        <w:rPr/>
        <w:t>of</w:t>
      </w:r>
      <w:r>
        <w:rPr>
          <w:spacing w:val="-5"/>
        </w:rPr>
        <w:t> </w:t>
      </w:r>
      <w:r>
        <w:rPr/>
        <w:t>the</w:t>
      </w:r>
      <w:r>
        <w:rPr>
          <w:spacing w:val="-5"/>
        </w:rPr>
        <w:t> </w:t>
      </w:r>
      <w:r>
        <w:rPr/>
        <w:t>LDAP</w:t>
      </w:r>
      <w:r>
        <w:rPr>
          <w:spacing w:val="-5"/>
        </w:rPr>
        <w:t> </w:t>
      </w:r>
      <w:r>
        <w:rPr/>
        <w:t>SearchRequest</w:t>
      </w:r>
      <w:r>
        <w:rPr>
          <w:spacing w:val="-5"/>
        </w:rPr>
        <w:t> </w:t>
      </w:r>
      <w:r>
        <w:rPr/>
        <w:t>[RFC4511]</w:t>
      </w:r>
      <w:r>
        <w:rPr>
          <w:spacing w:val="-5"/>
        </w:rPr>
        <w:t> </w:t>
      </w:r>
      <w:r>
        <w:rPr/>
        <w:t>or</w:t>
      </w:r>
      <w:r>
        <w:rPr>
          <w:spacing w:val="-5"/>
        </w:rPr>
        <w:t> </w:t>
      </w:r>
      <w:r>
        <w:rPr/>
        <w:t>other</w:t>
      </w:r>
      <w:r>
        <w:rPr>
          <w:spacing w:val="-5"/>
        </w:rPr>
        <w:t> </w:t>
      </w:r>
      <w:r>
        <w:rPr/>
        <w:t>request values</w:t>
      </w:r>
      <w:r>
        <w:rPr>
          <w:spacing w:val="-5"/>
        </w:rPr>
        <w:t> </w:t>
      </w:r>
      <w:r>
        <w:rPr/>
        <w:t>of</w:t>
      </w:r>
      <w:r>
        <w:rPr>
          <w:spacing w:val="-5"/>
        </w:rPr>
        <w:t> </w:t>
      </w:r>
      <w:r>
        <w:rPr/>
        <w:t>the</w:t>
      </w:r>
      <w:r>
        <w:rPr>
          <w:spacing w:val="-5"/>
        </w:rPr>
        <w:t> </w:t>
      </w:r>
      <w:r>
        <w:rPr/>
        <w:t>AttributeSelection</w:t>
      </w:r>
      <w:r>
        <w:rPr>
          <w:spacing w:val="-5"/>
        </w:rPr>
        <w:t> </w:t>
      </w:r>
      <w:r>
        <w:rPr/>
        <w:t>data</w:t>
      </w:r>
      <w:r>
        <w:rPr>
          <w:spacing w:val="-5"/>
        </w:rPr>
        <w:t> </w:t>
      </w:r>
      <w:r>
        <w:rPr/>
        <w:t>type</w:t>
      </w:r>
      <w:r>
        <w:rPr>
          <w:spacing w:val="-5"/>
        </w:rPr>
        <w:t> </w:t>
      </w:r>
      <w:r>
        <w:rPr/>
        <w:t>(e.g.,</w:t>
      </w:r>
      <w:r>
        <w:rPr>
          <w:spacing w:val="-5"/>
        </w:rPr>
        <w:t> </w:t>
      </w:r>
      <w:r>
        <w:rPr/>
        <w:t>attributes</w:t>
      </w:r>
      <w:r>
        <w:rPr>
          <w:spacing w:val="-5"/>
        </w:rPr>
        <w:t> </w:t>
      </w:r>
      <w:r>
        <w:rPr/>
        <w:t>field</w:t>
      </w:r>
      <w:r>
        <w:rPr>
          <w:spacing w:val="-5"/>
        </w:rPr>
        <w:t> </w:t>
      </w:r>
      <w:r>
        <w:rPr/>
        <w:t>in pre/post read controls [ReadEntry]) and/or &lt;attributeSelector&gt; production (e.g., attributes of an LDAP URL [RFC4516]).</w:t>
      </w:r>
      <w:r>
        <w:rPr>
          <w:spacing w:val="80"/>
        </w:rPr>
        <w:t> </w:t>
      </w:r>
      <w:r>
        <w:rPr/>
        <w:t>For each object</w:t>
      </w:r>
      <w:r>
        <w:rPr>
          <w:spacing w:val="-4"/>
        </w:rPr>
        <w:t> </w:t>
      </w:r>
      <w:r>
        <w:rPr/>
        <w:t>class</w:t>
      </w:r>
      <w:r>
        <w:rPr>
          <w:spacing w:val="-4"/>
        </w:rPr>
        <w:t> </w:t>
      </w:r>
      <w:r>
        <w:rPr/>
        <w:t>identified</w:t>
      </w:r>
      <w:r>
        <w:rPr>
          <w:spacing w:val="-4"/>
        </w:rPr>
        <w:t> </w:t>
      </w:r>
      <w:r>
        <w:rPr/>
        <w:t>in</w:t>
      </w:r>
      <w:r>
        <w:rPr>
          <w:spacing w:val="-4"/>
        </w:rPr>
        <w:t> </w:t>
      </w:r>
      <w:r>
        <w:rPr/>
        <w:t>the</w:t>
      </w:r>
      <w:r>
        <w:rPr>
          <w:spacing w:val="-4"/>
        </w:rPr>
        <w:t> </w:t>
      </w:r>
      <w:r>
        <w:rPr/>
        <w:t>attributes</w:t>
      </w:r>
      <w:r>
        <w:rPr>
          <w:spacing w:val="-4"/>
        </w:rPr>
        <w:t> </w:t>
      </w:r>
      <w:r>
        <w:rPr/>
        <w:t>field,</w:t>
      </w:r>
      <w:r>
        <w:rPr>
          <w:spacing w:val="-4"/>
        </w:rPr>
        <w:t> </w:t>
      </w:r>
      <w:r>
        <w:rPr/>
        <w:t>the</w:t>
      </w:r>
      <w:r>
        <w:rPr>
          <w:spacing w:val="-4"/>
        </w:rPr>
        <w:t> </w:t>
      </w:r>
      <w:r>
        <w:rPr/>
        <w:t>request</w:t>
      </w:r>
      <w:r>
        <w:rPr>
          <w:spacing w:val="-4"/>
        </w:rPr>
        <w:t> </w:t>
      </w:r>
      <w:r>
        <w:rPr/>
        <w:t>is</w:t>
      </w:r>
      <w:r>
        <w:rPr>
          <w:spacing w:val="-4"/>
        </w:rPr>
        <w:t> </w:t>
      </w:r>
      <w:r>
        <w:rPr/>
        <w:t>to</w:t>
      </w:r>
      <w:r>
        <w:rPr>
          <w:spacing w:val="-4"/>
        </w:rPr>
        <w:t> </w:t>
      </w:r>
      <w:r>
        <w:rPr/>
        <w:t>be treated as if each attribute allowed by that class (by "MUST" or "MAY", directly or by "SUP"erior) [RFC4512] were itself listed.</w:t>
      </w:r>
    </w:p>
    <w:p>
      <w:pPr>
        <w:pStyle w:val="BodyText"/>
        <w:spacing w:line="232" w:lineRule="auto" w:before="222"/>
        <w:ind w:right="439"/>
      </w:pPr>
      <w:r>
        <w:rPr/>
        <w:t>This</w:t>
      </w:r>
      <w:r>
        <w:rPr>
          <w:spacing w:val="-7"/>
        </w:rPr>
        <w:t> </w:t>
      </w:r>
      <w:r>
        <w:rPr/>
        <w:t>extension</w:t>
      </w:r>
      <w:r>
        <w:rPr>
          <w:spacing w:val="-7"/>
        </w:rPr>
        <w:t> </w:t>
      </w:r>
      <w:r>
        <w:rPr/>
        <w:t>extends</w:t>
      </w:r>
      <w:r>
        <w:rPr>
          <w:spacing w:val="-7"/>
        </w:rPr>
        <w:t> </w:t>
      </w:r>
      <w:r>
        <w:rPr/>
        <w:t>the</w:t>
      </w:r>
      <w:r>
        <w:rPr>
          <w:spacing w:val="-7"/>
        </w:rPr>
        <w:t> </w:t>
      </w:r>
      <w:r>
        <w:rPr/>
        <w:t>&lt;attributeSelector&gt;</w:t>
      </w:r>
      <w:r>
        <w:rPr>
          <w:spacing w:val="-7"/>
        </w:rPr>
        <w:t> </w:t>
      </w:r>
      <w:r>
        <w:rPr/>
        <w:t>[RFC4511]</w:t>
      </w:r>
      <w:r>
        <w:rPr>
          <w:spacing w:val="-7"/>
        </w:rPr>
        <w:t> </w:t>
      </w:r>
      <w:r>
        <w:rPr/>
        <w:t>production as indicated by the following ABNF [RFC4234]:</w:t>
      </w:r>
    </w:p>
    <w:p>
      <w:pPr>
        <w:pStyle w:val="BodyText"/>
        <w:spacing w:line="232" w:lineRule="auto" w:before="220"/>
        <w:ind w:left="1120" w:right="2719"/>
        <w:jc w:val="both"/>
      </w:pPr>
      <w:r>
        <w:rPr/>
        <w:t>attributeSelector</w:t>
      </w:r>
      <w:r>
        <w:rPr>
          <w:spacing w:val="-21"/>
        </w:rPr>
        <w:t> </w:t>
      </w:r>
      <w:r>
        <w:rPr/>
        <w:t>=/</w:t>
      </w:r>
      <w:r>
        <w:rPr>
          <w:spacing w:val="-21"/>
        </w:rPr>
        <w:t> </w:t>
      </w:r>
      <w:r>
        <w:rPr/>
        <w:t>objectclassdescription objectclassdescription</w:t>
      </w:r>
      <w:r>
        <w:rPr>
          <w:spacing w:val="-10"/>
        </w:rPr>
        <w:t> </w:t>
      </w:r>
      <w:r>
        <w:rPr/>
        <w:t>=</w:t>
      </w:r>
      <w:r>
        <w:rPr>
          <w:spacing w:val="-11"/>
        </w:rPr>
        <w:t> </w:t>
      </w:r>
      <w:r>
        <w:rPr/>
        <w:t>ATSIGN</w:t>
      </w:r>
      <w:r>
        <w:rPr>
          <w:spacing w:val="-10"/>
        </w:rPr>
        <w:t> </w:t>
      </w:r>
      <w:r>
        <w:rPr/>
        <w:t>oid</w:t>
      </w:r>
      <w:r>
        <w:rPr>
          <w:spacing w:val="-11"/>
        </w:rPr>
        <w:t> </w:t>
      </w:r>
      <w:r>
        <w:rPr/>
        <w:t>options ATSIGN = %x40 ; COMMERCIAL AT ("@" U+0040)</w:t>
      </w:r>
    </w:p>
    <w:p>
      <w:pPr>
        <w:pStyle w:val="BodyText"/>
        <w:spacing w:before="216"/>
      </w:pPr>
      <w:r>
        <w:rPr/>
        <w:t>where</w:t>
      </w:r>
      <w:r>
        <w:rPr>
          <w:spacing w:val="-6"/>
        </w:rPr>
        <w:t> </w:t>
      </w:r>
      <w:r>
        <w:rPr/>
        <w:t>&lt;oid&gt;</w:t>
      </w:r>
      <w:r>
        <w:rPr>
          <w:spacing w:val="-5"/>
        </w:rPr>
        <w:t> </w:t>
      </w:r>
      <w:r>
        <w:rPr/>
        <w:t>and</w:t>
      </w:r>
      <w:r>
        <w:rPr>
          <w:spacing w:val="-5"/>
        </w:rPr>
        <w:t> </w:t>
      </w:r>
      <w:r>
        <w:rPr/>
        <w:t>&lt;options&gt;</w:t>
      </w:r>
      <w:r>
        <w:rPr>
          <w:spacing w:val="-5"/>
        </w:rPr>
        <w:t> </w:t>
      </w:r>
      <w:r>
        <w:rPr/>
        <w:t>productions</w:t>
      </w:r>
      <w:r>
        <w:rPr>
          <w:spacing w:val="-6"/>
        </w:rPr>
        <w:t> </w:t>
      </w:r>
      <w:r>
        <w:rPr/>
        <w:t>are</w:t>
      </w:r>
      <w:r>
        <w:rPr>
          <w:spacing w:val="-5"/>
        </w:rPr>
        <w:t> </w:t>
      </w:r>
      <w:r>
        <w:rPr/>
        <w:t>as</w:t>
      </w:r>
      <w:r>
        <w:rPr>
          <w:spacing w:val="-5"/>
        </w:rPr>
        <w:t> </w:t>
      </w:r>
      <w:r>
        <w:rPr/>
        <w:t>defined</w:t>
      </w:r>
      <w:r>
        <w:rPr>
          <w:spacing w:val="-5"/>
        </w:rPr>
        <w:t> </w:t>
      </w:r>
      <w:r>
        <w:rPr/>
        <w:t>in</w:t>
      </w:r>
      <w:r>
        <w:rPr>
          <w:spacing w:val="-5"/>
        </w:rPr>
        <w:t> </w:t>
      </w:r>
      <w:r>
        <w:rPr>
          <w:spacing w:val="-2"/>
        </w:rPr>
        <w:t>[RFC4512].</w:t>
      </w:r>
    </w:p>
    <w:p>
      <w:pPr>
        <w:pStyle w:val="BodyText"/>
        <w:spacing w:after="0"/>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ind w:right="439"/>
      </w:pPr>
      <w:r>
        <w:rPr/>
        <w:t>The &lt;oid&gt; component of an &lt;objectclassdescription&gt; production identifies the object class by short name (descr) or object identifier (numericoid).</w:t>
      </w:r>
      <w:r>
        <w:rPr>
          <w:spacing w:val="80"/>
        </w:rPr>
        <w:t> </w:t>
      </w:r>
      <w:r>
        <w:rPr/>
        <w:t>If the value of the &lt;oid&gt; component is unrecognized</w:t>
      </w:r>
      <w:r>
        <w:rPr>
          <w:spacing w:val="-4"/>
        </w:rPr>
        <w:t> </w:t>
      </w:r>
      <w:r>
        <w:rPr/>
        <w:t>or</w:t>
      </w:r>
      <w:r>
        <w:rPr>
          <w:spacing w:val="-4"/>
        </w:rPr>
        <w:t> </w:t>
      </w:r>
      <w:r>
        <w:rPr/>
        <w:t>does</w:t>
      </w:r>
      <w:r>
        <w:rPr>
          <w:spacing w:val="-4"/>
        </w:rPr>
        <w:t> </w:t>
      </w:r>
      <w:r>
        <w:rPr/>
        <w:t>not</w:t>
      </w:r>
      <w:r>
        <w:rPr>
          <w:spacing w:val="-4"/>
        </w:rPr>
        <w:t> </w:t>
      </w:r>
      <w:r>
        <w:rPr/>
        <w:t>refer</w:t>
      </w:r>
      <w:r>
        <w:rPr>
          <w:spacing w:val="-4"/>
        </w:rPr>
        <w:t> </w:t>
      </w:r>
      <w:r>
        <w:rPr/>
        <w:t>to</w:t>
      </w:r>
      <w:r>
        <w:rPr>
          <w:spacing w:val="-4"/>
        </w:rPr>
        <w:t> </w:t>
      </w:r>
      <w:r>
        <w:rPr/>
        <w:t>an</w:t>
      </w:r>
      <w:r>
        <w:rPr>
          <w:spacing w:val="-4"/>
        </w:rPr>
        <w:t> </w:t>
      </w:r>
      <w:r>
        <w:rPr/>
        <w:t>object</w:t>
      </w:r>
      <w:r>
        <w:rPr>
          <w:spacing w:val="-4"/>
        </w:rPr>
        <w:t> </w:t>
      </w:r>
      <w:r>
        <w:rPr/>
        <w:t>class,</w:t>
      </w:r>
      <w:r>
        <w:rPr>
          <w:spacing w:val="-4"/>
        </w:rPr>
        <w:t> </w:t>
      </w:r>
      <w:r>
        <w:rPr/>
        <w:t>the</w:t>
      </w:r>
      <w:r>
        <w:rPr>
          <w:spacing w:val="-4"/>
        </w:rPr>
        <w:t> </w:t>
      </w:r>
      <w:r>
        <w:rPr/>
        <w:t>object</w:t>
      </w:r>
      <w:r>
        <w:rPr>
          <w:spacing w:val="-4"/>
        </w:rPr>
        <w:t> </w:t>
      </w:r>
      <w:r>
        <w:rPr/>
        <w:t>class description is to be treated as an unrecognized attribute </w:t>
      </w:r>
      <w:r>
        <w:rPr>
          <w:spacing w:val="-2"/>
        </w:rPr>
        <w:t>description.</w:t>
      </w:r>
    </w:p>
    <w:p>
      <w:pPr>
        <w:pStyle w:val="BodyText"/>
        <w:spacing w:line="232" w:lineRule="auto"/>
        <w:ind w:right="199"/>
      </w:pPr>
      <w:r>
        <w:rPr/>
        <w:t>The</w:t>
      </w:r>
      <w:r>
        <w:rPr>
          <w:spacing w:val="-5"/>
        </w:rPr>
        <w:t> </w:t>
      </w:r>
      <w:r>
        <w:rPr/>
        <w:t>&lt;options&gt;</w:t>
      </w:r>
      <w:r>
        <w:rPr>
          <w:spacing w:val="-5"/>
        </w:rPr>
        <w:t> </w:t>
      </w:r>
      <w:r>
        <w:rPr/>
        <w:t>production</w:t>
      </w:r>
      <w:r>
        <w:rPr>
          <w:spacing w:val="-5"/>
        </w:rPr>
        <w:t> </w:t>
      </w:r>
      <w:r>
        <w:rPr/>
        <w:t>is</w:t>
      </w:r>
      <w:r>
        <w:rPr>
          <w:spacing w:val="-5"/>
        </w:rPr>
        <w:t> </w:t>
      </w:r>
      <w:r>
        <w:rPr/>
        <w:t>included</w:t>
      </w:r>
      <w:r>
        <w:rPr>
          <w:spacing w:val="-5"/>
        </w:rPr>
        <w:t> </w:t>
      </w:r>
      <w:r>
        <w:rPr/>
        <w:t>in</w:t>
      </w:r>
      <w:r>
        <w:rPr>
          <w:spacing w:val="-5"/>
        </w:rPr>
        <w:t> </w:t>
      </w:r>
      <w:r>
        <w:rPr/>
        <w:t>the</w:t>
      </w:r>
      <w:r>
        <w:rPr>
          <w:spacing w:val="-5"/>
        </w:rPr>
        <w:t> </w:t>
      </w:r>
      <w:r>
        <w:rPr/>
        <w:t>grammar</w:t>
      </w:r>
      <w:r>
        <w:rPr>
          <w:spacing w:val="-5"/>
        </w:rPr>
        <w:t> </w:t>
      </w:r>
      <w:r>
        <w:rPr/>
        <w:t>for</w:t>
      </w:r>
      <w:r>
        <w:rPr>
          <w:spacing w:val="-5"/>
        </w:rPr>
        <w:t> </w:t>
      </w:r>
      <w:r>
        <w:rPr/>
        <w:t>extensibility purposes.</w:t>
      </w:r>
      <w:r>
        <w:rPr>
          <w:spacing w:val="80"/>
        </w:rPr>
        <w:t> </w:t>
      </w:r>
      <w:r>
        <w:rPr/>
        <w:t>An object class description with an unrecognized or inappropriate option is to be treated as unrecognized.</w:t>
      </w:r>
    </w:p>
    <w:p>
      <w:pPr>
        <w:pStyle w:val="BodyText"/>
        <w:spacing w:line="232" w:lineRule="auto"/>
      </w:pPr>
      <w:r>
        <w:rPr/>
        <w:t>Although</w:t>
      </w:r>
      <w:r>
        <w:rPr>
          <w:spacing w:val="-6"/>
        </w:rPr>
        <w:t> </w:t>
      </w:r>
      <w:r>
        <w:rPr/>
        <w:t>object</w:t>
      </w:r>
      <w:r>
        <w:rPr>
          <w:spacing w:val="-6"/>
        </w:rPr>
        <w:t> </w:t>
      </w:r>
      <w:r>
        <w:rPr/>
        <w:t>class</w:t>
      </w:r>
      <w:r>
        <w:rPr>
          <w:spacing w:val="-6"/>
        </w:rPr>
        <w:t> </w:t>
      </w:r>
      <w:r>
        <w:rPr/>
        <w:t>description</w:t>
      </w:r>
      <w:r>
        <w:rPr>
          <w:spacing w:val="-6"/>
        </w:rPr>
        <w:t> </w:t>
      </w:r>
      <w:r>
        <w:rPr/>
        <w:t>options</w:t>
      </w:r>
      <w:r>
        <w:rPr>
          <w:spacing w:val="-6"/>
        </w:rPr>
        <w:t> </w:t>
      </w:r>
      <w:r>
        <w:rPr/>
        <w:t>and</w:t>
      </w:r>
      <w:r>
        <w:rPr>
          <w:spacing w:val="-6"/>
        </w:rPr>
        <w:t> </w:t>
      </w:r>
      <w:r>
        <w:rPr/>
        <w:t>attribute</w:t>
      </w:r>
      <w:r>
        <w:rPr>
          <w:spacing w:val="-6"/>
        </w:rPr>
        <w:t> </w:t>
      </w:r>
      <w:r>
        <w:rPr/>
        <w:t>description options share the same syntax, they are not semantically related.</w:t>
      </w:r>
    </w:p>
    <w:p>
      <w:pPr>
        <w:pStyle w:val="BodyText"/>
        <w:spacing w:line="222" w:lineRule="exact" w:before="0"/>
      </w:pPr>
      <w:r>
        <w:rPr/>
        <w:t>This</w:t>
      </w:r>
      <w:r>
        <w:rPr>
          <w:spacing w:val="-6"/>
        </w:rPr>
        <w:t> </w:t>
      </w:r>
      <w:r>
        <w:rPr/>
        <w:t>document</w:t>
      </w:r>
      <w:r>
        <w:rPr>
          <w:spacing w:val="-6"/>
        </w:rPr>
        <w:t> </w:t>
      </w:r>
      <w:r>
        <w:rPr/>
        <w:t>does</w:t>
      </w:r>
      <w:r>
        <w:rPr>
          <w:spacing w:val="-5"/>
        </w:rPr>
        <w:t> </w:t>
      </w:r>
      <w:r>
        <w:rPr/>
        <w:t>not</w:t>
      </w:r>
      <w:r>
        <w:rPr>
          <w:spacing w:val="-6"/>
        </w:rPr>
        <w:t> </w:t>
      </w:r>
      <w:r>
        <w:rPr/>
        <w:t>define</w:t>
      </w:r>
      <w:r>
        <w:rPr>
          <w:spacing w:val="-6"/>
        </w:rPr>
        <w:t> </w:t>
      </w:r>
      <w:r>
        <w:rPr/>
        <w:t>any</w:t>
      </w:r>
      <w:r>
        <w:rPr>
          <w:spacing w:val="-5"/>
        </w:rPr>
        <w:t> </w:t>
      </w:r>
      <w:r>
        <w:rPr/>
        <w:t>object</w:t>
      </w:r>
      <w:r>
        <w:rPr>
          <w:spacing w:val="-6"/>
        </w:rPr>
        <w:t> </w:t>
      </w:r>
      <w:r>
        <w:rPr/>
        <w:t>description</w:t>
      </w:r>
      <w:r>
        <w:rPr>
          <w:spacing w:val="-5"/>
        </w:rPr>
        <w:t> </w:t>
      </w:r>
      <w:r>
        <w:rPr>
          <w:spacing w:val="-2"/>
        </w:rPr>
        <w:t>option.</w:t>
      </w:r>
    </w:p>
    <w:p>
      <w:pPr>
        <w:pStyle w:val="BodyText"/>
        <w:spacing w:line="232" w:lineRule="auto" w:before="218"/>
        <w:ind w:right="199"/>
      </w:pPr>
      <w:r>
        <w:rPr/>
        <w:t>Servers supporting this feature SHOULD publish the object identifier (OID) 1.3.6.1.4.1.4203.1.5.2 as a value of the ’supportedFeatures’ [RFC4512]</w:t>
      </w:r>
      <w:r>
        <w:rPr>
          <w:spacing w:val="-5"/>
        </w:rPr>
        <w:t> </w:t>
      </w:r>
      <w:r>
        <w:rPr/>
        <w:t>attribute</w:t>
      </w:r>
      <w:r>
        <w:rPr>
          <w:spacing w:val="-5"/>
        </w:rPr>
        <w:t> </w:t>
      </w:r>
      <w:r>
        <w:rPr/>
        <w:t>in</w:t>
      </w:r>
      <w:r>
        <w:rPr>
          <w:spacing w:val="-5"/>
        </w:rPr>
        <w:t> </w:t>
      </w:r>
      <w:r>
        <w:rPr/>
        <w:t>the</w:t>
      </w:r>
      <w:r>
        <w:rPr>
          <w:spacing w:val="-5"/>
        </w:rPr>
        <w:t> </w:t>
      </w:r>
      <w:r>
        <w:rPr/>
        <w:t>root</w:t>
      </w:r>
      <w:r>
        <w:rPr>
          <w:spacing w:val="-5"/>
        </w:rPr>
        <w:t> </w:t>
      </w:r>
      <w:r>
        <w:rPr/>
        <w:t>DSE.</w:t>
      </w:r>
      <w:r>
        <w:rPr>
          <w:spacing w:val="80"/>
        </w:rPr>
        <w:t> </w:t>
      </w:r>
      <w:r>
        <w:rPr/>
        <w:t>Clients</w:t>
      </w:r>
      <w:r>
        <w:rPr>
          <w:spacing w:val="-5"/>
        </w:rPr>
        <w:t> </w:t>
      </w:r>
      <w:r>
        <w:rPr/>
        <w:t>supporting</w:t>
      </w:r>
      <w:r>
        <w:rPr>
          <w:spacing w:val="-5"/>
        </w:rPr>
        <w:t> </w:t>
      </w:r>
      <w:r>
        <w:rPr/>
        <w:t>this</w:t>
      </w:r>
      <w:r>
        <w:rPr>
          <w:spacing w:val="-5"/>
        </w:rPr>
        <w:t> </w:t>
      </w:r>
      <w:r>
        <w:rPr/>
        <w:t>feature SHOULD NOT use the feature unless they know that the server supports </w:t>
      </w:r>
      <w:r>
        <w:rPr>
          <w:spacing w:val="-4"/>
        </w:rPr>
        <w:t>it.</w:t>
      </w:r>
    </w:p>
    <w:p>
      <w:pPr>
        <w:pStyle w:val="ListParagraph"/>
        <w:numPr>
          <w:ilvl w:val="0"/>
          <w:numId w:val="2"/>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99"/>
      </w:pPr>
      <w:r>
        <w:rPr/>
        <w:t>This extension provides a shorthand for requesting all attributes of an object class.</w:t>
      </w:r>
      <w:r>
        <w:rPr>
          <w:spacing w:val="80"/>
        </w:rPr>
        <w:t> </w:t>
      </w:r>
      <w:r>
        <w:rPr/>
        <w:t>Because these attributes could have been listed individually,</w:t>
      </w:r>
      <w:r>
        <w:rPr>
          <w:spacing w:val="-5"/>
        </w:rPr>
        <w:t> </w:t>
      </w:r>
      <w:r>
        <w:rPr/>
        <w:t>introduction</w:t>
      </w:r>
      <w:r>
        <w:rPr>
          <w:spacing w:val="-5"/>
        </w:rPr>
        <w:t> </w:t>
      </w:r>
      <w:r>
        <w:rPr/>
        <w:t>of</w:t>
      </w:r>
      <w:r>
        <w:rPr>
          <w:spacing w:val="-5"/>
        </w:rPr>
        <w:t> </w:t>
      </w:r>
      <w:r>
        <w:rPr/>
        <w:t>this</w:t>
      </w:r>
      <w:r>
        <w:rPr>
          <w:spacing w:val="-5"/>
        </w:rPr>
        <w:t> </w:t>
      </w:r>
      <w:r>
        <w:rPr/>
        <w:t>shorthand</w:t>
      </w:r>
      <w:r>
        <w:rPr>
          <w:spacing w:val="-5"/>
        </w:rPr>
        <w:t> </w:t>
      </w:r>
      <w:r>
        <w:rPr/>
        <w:t>is</w:t>
      </w:r>
      <w:r>
        <w:rPr>
          <w:spacing w:val="-5"/>
        </w:rPr>
        <w:t> </w:t>
      </w:r>
      <w:r>
        <w:rPr/>
        <w:t>not</w:t>
      </w:r>
      <w:r>
        <w:rPr>
          <w:spacing w:val="-5"/>
        </w:rPr>
        <w:t> </w:t>
      </w:r>
      <w:r>
        <w:rPr/>
        <w:t>believed</w:t>
      </w:r>
      <w:r>
        <w:rPr>
          <w:spacing w:val="-5"/>
        </w:rPr>
        <w:t> </w:t>
      </w:r>
      <w:r>
        <w:rPr/>
        <w:t>to</w:t>
      </w:r>
      <w:r>
        <w:rPr>
          <w:spacing w:val="-5"/>
        </w:rPr>
        <w:t> </w:t>
      </w:r>
      <w:r>
        <w:rPr/>
        <w:t>raise additional security considerations.</w:t>
      </w:r>
    </w:p>
    <w:p>
      <w:pPr>
        <w:pStyle w:val="BodyText"/>
        <w:spacing w:line="232" w:lineRule="auto"/>
        <w:ind w:right="319"/>
        <w:jc w:val="both"/>
      </w:pPr>
      <w:r>
        <w:rPr/>
        <w:t>Implementors</w:t>
      </w:r>
      <w:r>
        <w:rPr>
          <w:spacing w:val="-5"/>
        </w:rPr>
        <w:t> </w:t>
      </w:r>
      <w:r>
        <w:rPr/>
        <w:t>of</w:t>
      </w:r>
      <w:r>
        <w:rPr>
          <w:spacing w:val="-5"/>
        </w:rPr>
        <w:t> </w:t>
      </w:r>
      <w:r>
        <w:rPr/>
        <w:t>this</w:t>
      </w:r>
      <w:r>
        <w:rPr>
          <w:spacing w:val="-5"/>
        </w:rPr>
        <w:t> </w:t>
      </w:r>
      <w:r>
        <w:rPr/>
        <w:t>LDAP</w:t>
      </w:r>
      <w:r>
        <w:rPr>
          <w:spacing w:val="-5"/>
        </w:rPr>
        <w:t> </w:t>
      </w:r>
      <w:r>
        <w:rPr/>
        <w:t>extension</w:t>
      </w:r>
      <w:r>
        <w:rPr>
          <w:spacing w:val="-5"/>
        </w:rPr>
        <w:t> </w:t>
      </w:r>
      <w:r>
        <w:rPr/>
        <w:t>should</w:t>
      </w:r>
      <w:r>
        <w:rPr>
          <w:spacing w:val="-5"/>
        </w:rPr>
        <w:t> </w:t>
      </w:r>
      <w:r>
        <w:rPr/>
        <w:t>be</w:t>
      </w:r>
      <w:r>
        <w:rPr>
          <w:spacing w:val="-5"/>
        </w:rPr>
        <w:t> </w:t>
      </w:r>
      <w:r>
        <w:rPr/>
        <w:t>familiar</w:t>
      </w:r>
      <w:r>
        <w:rPr>
          <w:spacing w:val="-5"/>
        </w:rPr>
        <w:t> </w:t>
      </w:r>
      <w:r>
        <w:rPr/>
        <w:t>with</w:t>
      </w:r>
      <w:r>
        <w:rPr>
          <w:spacing w:val="-5"/>
        </w:rPr>
        <w:t> </w:t>
      </w:r>
      <w:r>
        <w:rPr/>
        <w:t>security considerations</w:t>
      </w:r>
      <w:r>
        <w:rPr>
          <w:spacing w:val="-6"/>
        </w:rPr>
        <w:t> </w:t>
      </w:r>
      <w:r>
        <w:rPr/>
        <w:t>applicable</w:t>
      </w:r>
      <w:r>
        <w:rPr>
          <w:spacing w:val="-6"/>
        </w:rPr>
        <w:t> </w:t>
      </w:r>
      <w:r>
        <w:rPr/>
        <w:t>to</w:t>
      </w:r>
      <w:r>
        <w:rPr>
          <w:spacing w:val="-6"/>
        </w:rPr>
        <w:t> </w:t>
      </w:r>
      <w:r>
        <w:rPr/>
        <w:t>the</w:t>
      </w:r>
      <w:r>
        <w:rPr>
          <w:spacing w:val="-6"/>
        </w:rPr>
        <w:t> </w:t>
      </w:r>
      <w:r>
        <w:rPr/>
        <w:t>LDAP</w:t>
      </w:r>
      <w:r>
        <w:rPr>
          <w:spacing w:val="-6"/>
        </w:rPr>
        <w:t> </w:t>
      </w:r>
      <w:r>
        <w:rPr/>
        <w:t>search</w:t>
      </w:r>
      <w:r>
        <w:rPr>
          <w:spacing w:val="-6"/>
        </w:rPr>
        <w:t> </w:t>
      </w:r>
      <w:r>
        <w:rPr/>
        <w:t>operation</w:t>
      </w:r>
      <w:r>
        <w:rPr>
          <w:spacing w:val="-6"/>
        </w:rPr>
        <w:t> </w:t>
      </w:r>
      <w:r>
        <w:rPr/>
        <w:t>[RFC4511],</w:t>
      </w:r>
      <w:r>
        <w:rPr>
          <w:spacing w:val="-6"/>
        </w:rPr>
        <w:t> </w:t>
      </w:r>
      <w:r>
        <w:rPr/>
        <w:t>as well as with general LDAP security considerations [RFC4510].</w:t>
      </w:r>
    </w:p>
    <w:p>
      <w:pPr>
        <w:pStyle w:val="ListParagraph"/>
        <w:numPr>
          <w:ilvl w:val="0"/>
          <w:numId w:val="2"/>
        </w:numPr>
        <w:tabs>
          <w:tab w:pos="638" w:val="left" w:leader="none"/>
        </w:tabs>
        <w:spacing w:line="240" w:lineRule="auto" w:before="215"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9"/>
        <w:ind w:right="199"/>
      </w:pPr>
      <w:r>
        <w:rPr/>
        <w:t>Registration</w:t>
      </w:r>
      <w:r>
        <w:rPr>
          <w:spacing w:val="-5"/>
        </w:rPr>
        <w:t> </w:t>
      </w:r>
      <w:r>
        <w:rPr/>
        <w:t>of</w:t>
      </w:r>
      <w:r>
        <w:rPr>
          <w:spacing w:val="-5"/>
        </w:rPr>
        <w:t> </w:t>
      </w:r>
      <w:r>
        <w:rPr/>
        <w:t>the</w:t>
      </w:r>
      <w:r>
        <w:rPr>
          <w:spacing w:val="-5"/>
        </w:rPr>
        <w:t> </w:t>
      </w:r>
      <w:r>
        <w:rPr/>
        <w:t>LDAP</w:t>
      </w:r>
      <w:r>
        <w:rPr>
          <w:spacing w:val="-5"/>
        </w:rPr>
        <w:t> </w:t>
      </w:r>
      <w:r>
        <w:rPr/>
        <w:t>Protocol</w:t>
      </w:r>
      <w:r>
        <w:rPr>
          <w:spacing w:val="-5"/>
        </w:rPr>
        <w:t> </w:t>
      </w:r>
      <w:r>
        <w:rPr/>
        <w:t>Mechanism</w:t>
      </w:r>
      <w:r>
        <w:rPr>
          <w:spacing w:val="-5"/>
        </w:rPr>
        <w:t> </w:t>
      </w:r>
      <w:r>
        <w:rPr/>
        <w:t>[RFC4520]</w:t>
      </w:r>
      <w:r>
        <w:rPr>
          <w:spacing w:val="-5"/>
        </w:rPr>
        <w:t> </w:t>
      </w:r>
      <w:r>
        <w:rPr/>
        <w:t>defined</w:t>
      </w:r>
      <w:r>
        <w:rPr>
          <w:spacing w:val="-5"/>
        </w:rPr>
        <w:t> </w:t>
      </w:r>
      <w:r>
        <w:rPr/>
        <w:t>in</w:t>
      </w:r>
      <w:r>
        <w:rPr>
          <w:spacing w:val="-5"/>
        </w:rPr>
        <w:t> </w:t>
      </w:r>
      <w:r>
        <w:rPr/>
        <w:t>this document has been completed.</w:t>
      </w:r>
    </w:p>
    <w:p>
      <w:pPr>
        <w:pStyle w:val="BodyText"/>
        <w:spacing w:line="232" w:lineRule="auto" w:before="220"/>
        <w:ind w:left="1000" w:right="679"/>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1.3.6.1.4.1.4203.1.5.2</w:t>
      </w:r>
    </w:p>
    <w:p>
      <w:pPr>
        <w:pStyle w:val="BodyText"/>
        <w:spacing w:line="219" w:lineRule="exact" w:before="0"/>
        <w:ind w:left="1000"/>
      </w:pPr>
      <w:r>
        <w:rPr/>
        <w:t>Description:</w:t>
      </w:r>
      <w:r>
        <w:rPr>
          <w:spacing w:val="-6"/>
        </w:rPr>
        <w:t> </w:t>
      </w:r>
      <w:r>
        <w:rPr/>
        <w:t>OC</w:t>
      </w:r>
      <w:r>
        <w:rPr>
          <w:spacing w:val="-5"/>
        </w:rPr>
        <w:t> </w:t>
      </w:r>
      <w:r>
        <w:rPr/>
        <w:t>AD</w:t>
      </w:r>
      <w:r>
        <w:rPr>
          <w:spacing w:val="-5"/>
        </w:rPr>
        <w:t> </w:t>
      </w:r>
      <w:r>
        <w:rPr>
          <w:spacing w:val="-2"/>
        </w:rPr>
        <w:t>Lists</w:t>
      </w:r>
    </w:p>
    <w:p>
      <w:pPr>
        <w:pStyle w:val="BodyText"/>
        <w:spacing w:line="232" w:lineRule="auto" w:before="2"/>
        <w:ind w:left="1600" w:right="679" w:hanging="60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before="1"/>
        <w:ind w:left="1000" w:right="4659"/>
      </w:pPr>
      <w:r>
        <w:rPr/>
        <w:t>Usage: Feature Specification:</w:t>
      </w:r>
      <w:r>
        <w:rPr>
          <w:spacing w:val="-20"/>
        </w:rPr>
        <w:t> </w:t>
      </w:r>
      <w:r>
        <w:rPr/>
        <w:t>RFC</w:t>
      </w:r>
      <w:r>
        <w:rPr>
          <w:spacing w:val="-20"/>
        </w:rPr>
        <w:t> </w:t>
      </w:r>
      <w:r>
        <w:rPr/>
        <w:t>4529</w:t>
      </w:r>
    </w:p>
    <w:p>
      <w:pPr>
        <w:pStyle w:val="BodyText"/>
        <w:spacing w:line="232" w:lineRule="auto" w:before="0"/>
        <w:ind w:left="1000"/>
      </w:pPr>
      <w:r>
        <w:rPr/>
        <w:t>Author/Change</w:t>
      </w:r>
      <w:r>
        <w:rPr>
          <w:spacing w:val="-11"/>
        </w:rPr>
        <w:t> </w:t>
      </w:r>
      <w:r>
        <w:rPr/>
        <w:t>Controller:</w:t>
      </w:r>
      <w:r>
        <w:rPr>
          <w:spacing w:val="-11"/>
        </w:rPr>
        <w:t> </w:t>
      </w:r>
      <w:r>
        <w:rPr/>
        <w:t>Kurt</w:t>
      </w:r>
      <w:r>
        <w:rPr>
          <w:spacing w:val="-11"/>
        </w:rPr>
        <w:t> </w:t>
      </w:r>
      <w:r>
        <w:rPr/>
        <w:t>Zeilenga</w:t>
      </w:r>
      <w:r>
        <w:rPr>
          <w:spacing w:val="-11"/>
        </w:rPr>
        <w:t> </w:t>
      </w:r>
      <w:r>
        <w:rPr/>
        <w:t>&lt;</w:t>
      </w:r>
      <w:hyperlink r:id="rId8">
        <w:r>
          <w:rPr/>
          <w:t>kurt@openldap.org</w:t>
        </w:r>
      </w:hyperlink>
      <w:r>
        <w:rPr/>
        <w:t>&gt; Comments: none</w:t>
      </w:r>
    </w:p>
    <w:p>
      <w:pPr>
        <w:pStyle w:val="BodyText"/>
        <w:spacing w:after="0" w:line="232" w:lineRule="auto"/>
        <w:sectPr>
          <w:pgSz w:w="12240" w:h="15840"/>
          <w:pgMar w:header="793" w:footer="2967" w:top="1360" w:bottom="3160" w:left="1440" w:right="1800"/>
        </w:sectPr>
      </w:pPr>
    </w:p>
    <w:p>
      <w:pPr>
        <w:pStyle w:val="BodyText"/>
        <w:spacing w:line="232" w:lineRule="auto" w:before="95"/>
        <w:ind w:right="679"/>
      </w:pPr>
      <w:r>
        <w:rPr/>
        <w:t>This OID was assigned [ASSIGN] by OpenLDAP Foundation, under its IANA-assigned</w:t>
      </w:r>
      <w:r>
        <w:rPr>
          <w:spacing w:val="-6"/>
        </w:rPr>
        <w:t> </w:t>
      </w:r>
      <w:r>
        <w:rPr/>
        <w:t>private</w:t>
      </w:r>
      <w:r>
        <w:rPr>
          <w:spacing w:val="-6"/>
        </w:rPr>
        <w:t> </w:t>
      </w:r>
      <w:r>
        <w:rPr/>
        <w:t>enterprise</w:t>
      </w:r>
      <w:r>
        <w:rPr>
          <w:spacing w:val="-6"/>
        </w:rPr>
        <w:t> </w:t>
      </w:r>
      <w:r>
        <w:rPr/>
        <w:t>allocation</w:t>
      </w:r>
      <w:r>
        <w:rPr>
          <w:spacing w:val="-6"/>
        </w:rPr>
        <w:t> </w:t>
      </w:r>
      <w:r>
        <w:rPr/>
        <w:t>[PRIVATE],</w:t>
      </w:r>
      <w:r>
        <w:rPr>
          <w:spacing w:val="-6"/>
        </w:rPr>
        <w:t> </w:t>
      </w:r>
      <w:r>
        <w:rPr/>
        <w:t>for</w:t>
      </w:r>
      <w:r>
        <w:rPr>
          <w:spacing w:val="-6"/>
        </w:rPr>
        <w:t> </w:t>
      </w:r>
      <w:r>
        <w:rPr/>
        <w:t>use</w:t>
      </w:r>
      <w:r>
        <w:rPr>
          <w:spacing w:val="-6"/>
        </w:rPr>
        <w:t> </w:t>
      </w:r>
      <w:r>
        <w:rPr/>
        <w:t>in this specification.</w:t>
      </w:r>
    </w:p>
    <w:p>
      <w:pPr>
        <w:pStyle w:val="ListParagraph"/>
        <w:numPr>
          <w:ilvl w:val="0"/>
          <w:numId w:val="2"/>
        </w:numPr>
        <w:tabs>
          <w:tab w:pos="638" w:val="left" w:leader="none"/>
        </w:tabs>
        <w:spacing w:line="240" w:lineRule="auto" w:before="215"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4"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ind w:left="2200" w:right="439" w:hanging="1680"/>
      </w:pPr>
      <w:r>
        <w:rPr>
          <w:spacing w:val="-2"/>
        </w:rPr>
        <w:t>[RFC4234]</w:t>
      </w:r>
      <w:r>
        <w:rPr/>
        <w:tab/>
        <w:t>Crocker, D., Ed. and P. Overell, "Augmented BNF for Syntax</w:t>
      </w:r>
      <w:r>
        <w:rPr>
          <w:spacing w:val="-7"/>
        </w:rPr>
        <w:t> </w:t>
      </w:r>
      <w:r>
        <w:rPr/>
        <w:t>Specifications:</w:t>
      </w:r>
      <w:r>
        <w:rPr>
          <w:spacing w:val="-7"/>
        </w:rPr>
        <w:t> </w:t>
      </w:r>
      <w:r>
        <w:rPr/>
        <w:t>ABNF",</w:t>
      </w:r>
      <w:r>
        <w:rPr>
          <w:spacing w:val="-7"/>
        </w:rPr>
        <w:t> </w:t>
      </w:r>
      <w:r>
        <w:rPr/>
        <w:t>RFC</w:t>
      </w:r>
      <w:r>
        <w:rPr>
          <w:spacing w:val="-7"/>
        </w:rPr>
        <w:t> </w:t>
      </w:r>
      <w:r>
        <w:rPr/>
        <w:t>4234,</w:t>
      </w:r>
      <w:r>
        <w:rPr>
          <w:spacing w:val="-7"/>
        </w:rPr>
        <w:t> </w:t>
      </w:r>
      <w:r>
        <w:rPr/>
        <w:t>October</w:t>
      </w:r>
      <w:r>
        <w:rPr>
          <w:spacing w:val="-7"/>
        </w:rPr>
        <w:t> </w:t>
      </w:r>
      <w:r>
        <w:rPr/>
        <w:t>2005.</w:t>
      </w:r>
    </w:p>
    <w:p>
      <w:pPr>
        <w:pStyle w:val="BodyText"/>
        <w:tabs>
          <w:tab w:pos="2199" w:val="left" w:leader="none"/>
        </w:tabs>
        <w:spacing w:line="232" w:lineRule="auto" w:before="220"/>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ind w:left="2200" w:right="559" w:hanging="168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ind w:left="2200" w:right="319" w:hanging="1680"/>
      </w:pPr>
      <w:r>
        <w:rPr>
          <w:spacing w:val="-2"/>
        </w:rPr>
        <w:t>[RFC4516]</w:t>
      </w:r>
      <w:r>
        <w:rPr/>
        <w:tab/>
        <w:t>Smith, M., Ed. and T. Howes, "Lightweight Directory Access</w:t>
      </w:r>
      <w:r>
        <w:rPr>
          <w:spacing w:val="-7"/>
        </w:rPr>
        <w:t> </w:t>
      </w:r>
      <w:r>
        <w:rPr/>
        <w:t>Protocol</w:t>
      </w:r>
      <w:r>
        <w:rPr>
          <w:spacing w:val="-7"/>
        </w:rPr>
        <w:t> </w:t>
      </w:r>
      <w:r>
        <w:rPr/>
        <w:t>(LDAP):</w:t>
      </w:r>
      <w:r>
        <w:rPr>
          <w:spacing w:val="-7"/>
        </w:rPr>
        <w:t> </w:t>
      </w:r>
      <w:r>
        <w:rPr/>
        <w:t>Uniform</w:t>
      </w:r>
      <w:r>
        <w:rPr>
          <w:spacing w:val="-7"/>
        </w:rPr>
        <w:t> </w:t>
      </w:r>
      <w:r>
        <w:rPr/>
        <w:t>Resource</w:t>
      </w:r>
      <w:r>
        <w:rPr>
          <w:spacing w:val="-7"/>
        </w:rPr>
        <w:t> </w:t>
      </w:r>
      <w:r>
        <w:rPr/>
        <w:t>Locator",</w:t>
      </w:r>
      <w:r>
        <w:rPr>
          <w:spacing w:val="-7"/>
        </w:rPr>
        <w:t> </w:t>
      </w:r>
      <w:r>
        <w:rPr/>
        <w:t>RFC 4516, June 2006.</w:t>
      </w:r>
    </w:p>
    <w:p>
      <w:pPr>
        <w:pStyle w:val="BodyText"/>
        <w:tabs>
          <w:tab w:pos="2199" w:val="left" w:leader="none"/>
        </w:tabs>
        <w:spacing w:line="232" w:lineRule="auto"/>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X.680(2002) (also ISO/IEC 8824-1:2002).</w:t>
      </w:r>
    </w:p>
    <w:p>
      <w:pPr>
        <w:pStyle w:val="ListParagraph"/>
        <w:numPr>
          <w:ilvl w:val="1"/>
          <w:numId w:val="2"/>
        </w:numPr>
        <w:tabs>
          <w:tab w:pos="876" w:val="left" w:leader="none"/>
        </w:tabs>
        <w:spacing w:line="240" w:lineRule="auto" w:before="216" w:after="0"/>
        <w:ind w:left="876" w:right="0" w:hanging="716"/>
        <w:jc w:val="left"/>
        <w:rPr>
          <w:sz w:val="20"/>
        </w:rPr>
      </w:pPr>
      <w:r>
        <w:rPr>
          <w:sz w:val="20"/>
        </w:rPr>
        <w:t>Informative</w:t>
      </w:r>
      <w:r>
        <w:rPr>
          <w:spacing w:val="-11"/>
          <w:sz w:val="20"/>
        </w:rPr>
        <w:t> </w:t>
      </w:r>
      <w:r>
        <w:rPr>
          <w:spacing w:val="-2"/>
          <w:sz w:val="20"/>
        </w:rPr>
        <w:t>References</w:t>
      </w:r>
    </w:p>
    <w:p>
      <w:pPr>
        <w:pStyle w:val="BodyText"/>
        <w:spacing w:line="232" w:lineRule="auto" w:before="218"/>
        <w:ind w:left="2200" w:right="559" w:hanging="1680"/>
        <w:jc w:val="both"/>
      </w:pPr>
      <w:r>
        <w:rPr/>
        <w:t>[RFC3673]</w:t>
      </w:r>
      <w:r>
        <w:rPr>
          <w:spacing w:val="40"/>
        </w:rPr>
        <w:t>  </w:t>
      </w:r>
      <w:r>
        <w:rPr/>
        <w:t>Zeilenga,</w:t>
      </w:r>
      <w:r>
        <w:rPr>
          <w:spacing w:val="-5"/>
        </w:rPr>
        <w:t> </w:t>
      </w:r>
      <w:r>
        <w:rPr/>
        <w:t>K.,</w:t>
      </w:r>
      <w:r>
        <w:rPr>
          <w:spacing w:val="-5"/>
        </w:rPr>
        <w:t> </w:t>
      </w:r>
      <w:r>
        <w:rPr/>
        <w:t>"Lightweight</w:t>
      </w:r>
      <w:r>
        <w:rPr>
          <w:spacing w:val="-5"/>
        </w:rPr>
        <w:t> </w:t>
      </w:r>
      <w:r>
        <w:rPr/>
        <w:t>Directory</w:t>
      </w:r>
      <w:r>
        <w:rPr>
          <w:spacing w:val="-5"/>
        </w:rPr>
        <w:t> </w:t>
      </w:r>
      <w:r>
        <w:rPr/>
        <w:t>Access</w:t>
      </w:r>
      <w:r>
        <w:rPr>
          <w:spacing w:val="-5"/>
        </w:rPr>
        <w:t> </w:t>
      </w:r>
      <w:r>
        <w:rPr/>
        <w:t>Protocol version</w:t>
      </w:r>
      <w:r>
        <w:rPr>
          <w:spacing w:val="-7"/>
        </w:rPr>
        <w:t> </w:t>
      </w:r>
      <w:r>
        <w:rPr/>
        <w:t>3</w:t>
      </w:r>
      <w:r>
        <w:rPr>
          <w:spacing w:val="-7"/>
        </w:rPr>
        <w:t> </w:t>
      </w:r>
      <w:r>
        <w:rPr/>
        <w:t>(LDAPv3):</w:t>
      </w:r>
      <w:r>
        <w:rPr>
          <w:spacing w:val="-7"/>
        </w:rPr>
        <w:t> </w:t>
      </w:r>
      <w:r>
        <w:rPr/>
        <w:t>All</w:t>
      </w:r>
      <w:r>
        <w:rPr>
          <w:spacing w:val="-7"/>
        </w:rPr>
        <w:t> </w:t>
      </w:r>
      <w:r>
        <w:rPr/>
        <w:t>Operational</w:t>
      </w:r>
      <w:r>
        <w:rPr>
          <w:spacing w:val="-7"/>
        </w:rPr>
        <w:t> </w:t>
      </w:r>
      <w:r>
        <w:rPr/>
        <w:t>Attributes",</w:t>
      </w:r>
      <w:r>
        <w:rPr>
          <w:spacing w:val="-7"/>
        </w:rPr>
        <w:t> </w:t>
      </w:r>
      <w:r>
        <w:rPr/>
        <w:t>RFC 3673, December 2003.</w:t>
      </w:r>
    </w:p>
    <w:p>
      <w:pPr>
        <w:pStyle w:val="BodyText"/>
        <w:tabs>
          <w:tab w:pos="2199" w:val="left" w:leader="none"/>
        </w:tabs>
        <w:spacing w:line="232" w:lineRule="auto"/>
        <w:ind w:left="2200" w:right="679" w:hanging="1680"/>
      </w:pPr>
      <w:r>
        <w:rPr>
          <w:spacing w:val="-2"/>
        </w:rPr>
        <w:t>[RFC4519]</w:t>
      </w:r>
      <w:r>
        <w:rPr/>
        <w:tab/>
        <w:t>Sciberras, A., Ed., "Lightweight Directory Access Protocol</w:t>
      </w:r>
      <w:r>
        <w:rPr>
          <w:spacing w:val="-7"/>
        </w:rPr>
        <w:t> </w:t>
      </w:r>
      <w:r>
        <w:rPr/>
        <w:t>(LDAP):</w:t>
      </w:r>
      <w:r>
        <w:rPr>
          <w:spacing w:val="-7"/>
        </w:rPr>
        <w:t> </w:t>
      </w:r>
      <w:r>
        <w:rPr/>
        <w:t>Schema</w:t>
      </w:r>
      <w:r>
        <w:rPr>
          <w:spacing w:val="-7"/>
        </w:rPr>
        <w:t> </w:t>
      </w:r>
      <w:r>
        <w:rPr/>
        <w:t>for</w:t>
      </w:r>
      <w:r>
        <w:rPr>
          <w:spacing w:val="-7"/>
        </w:rPr>
        <w:t> </w:t>
      </w:r>
      <w:r>
        <w:rPr/>
        <w:t>User</w:t>
      </w:r>
      <w:r>
        <w:rPr>
          <w:spacing w:val="-7"/>
        </w:rPr>
        <w:t> </w:t>
      </w:r>
      <w:r>
        <w:rPr/>
        <w:t>Applications",</w:t>
      </w:r>
      <w:r>
        <w:rPr>
          <w:spacing w:val="-7"/>
        </w:rPr>
        <w:t> </w:t>
      </w:r>
      <w:r>
        <w:rPr/>
        <w:t>RFC 4519, June 2006.</w:t>
      </w:r>
    </w:p>
    <w:p>
      <w:pPr>
        <w:pStyle w:val="BodyText"/>
        <w:tabs>
          <w:tab w:pos="2199" w:val="left" w:leader="none"/>
        </w:tabs>
        <w:spacing w:line="232" w:lineRule="auto"/>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559" w:hanging="1680"/>
      </w:pPr>
      <w:r>
        <w:rPr>
          <w:spacing w:val="-2"/>
        </w:rPr>
        <w:t>[ReadEntry]</w:t>
      </w:r>
      <w:r>
        <w:rPr/>
        <w:tab/>
        <w:t>Zeilenga,</w:t>
      </w:r>
      <w:r>
        <w:rPr>
          <w:spacing w:val="-8"/>
        </w:rPr>
        <w:t> </w:t>
      </w:r>
      <w:r>
        <w:rPr/>
        <w:t>K.,</w:t>
      </w:r>
      <w:r>
        <w:rPr>
          <w:spacing w:val="-8"/>
        </w:rPr>
        <w:t> </w:t>
      </w:r>
      <w:r>
        <w:rPr/>
        <w:t>"Lightweight</w:t>
      </w:r>
      <w:r>
        <w:rPr>
          <w:spacing w:val="-8"/>
        </w:rPr>
        <w:t> </w:t>
      </w:r>
      <w:r>
        <w:rPr/>
        <w:t>Directory</w:t>
      </w:r>
      <w:r>
        <w:rPr>
          <w:spacing w:val="-8"/>
        </w:rPr>
        <w:t> </w:t>
      </w:r>
      <w:r>
        <w:rPr/>
        <w:t>Access</w:t>
      </w:r>
      <w:r>
        <w:rPr>
          <w:spacing w:val="-8"/>
        </w:rPr>
        <w:t> </w:t>
      </w:r>
      <w:r>
        <w:rPr/>
        <w:t>Protocol (LDAP) Read Entry Controls", RFC 4527, June 2006.</w:t>
      </w:r>
    </w:p>
    <w:p>
      <w:pPr>
        <w:pStyle w:val="BodyText"/>
        <w:tabs>
          <w:tab w:pos="2199" w:val="left" w:leader="none"/>
        </w:tabs>
        <w:spacing w:line="232" w:lineRule="auto" w:before="220"/>
        <w:ind w:left="2200" w:right="559" w:hanging="1680"/>
      </w:pPr>
      <w:r>
        <w:rPr>
          <w:spacing w:val="-2"/>
        </w:rPr>
        <w:t>[ASSIGN]</w:t>
      </w:r>
      <w:r>
        <w:rPr/>
        <w:tab/>
        <w:t>OpenLDAP Foundation, "OpenLDAP OID Delegations", </w:t>
      </w:r>
      <w:hyperlink r:id="rId9">
        <w:r>
          <w:rPr>
            <w:spacing w:val="-2"/>
          </w:rPr>
          <w:t>http://www.openldap.org/foundation/oid-delegate.txt</w:t>
        </w:r>
      </w:hyperlink>
      <w:r>
        <w:rPr>
          <w:spacing w:val="-2"/>
        </w:rPr>
        <w:t>.</w:t>
      </w:r>
    </w:p>
    <w:p>
      <w:pPr>
        <w:pStyle w:val="BodyText"/>
        <w:tabs>
          <w:tab w:pos="2199" w:val="left" w:leader="none"/>
        </w:tabs>
        <w:spacing w:line="232" w:lineRule="auto"/>
        <w:ind w:left="2200" w:right="679" w:hanging="1680"/>
      </w:pPr>
      <w:r>
        <w:rPr>
          <w:spacing w:val="-2"/>
        </w:rPr>
        <w:t>[PRIVATE]</w:t>
      </w:r>
      <w:r>
        <w:rPr/>
        <w:tab/>
        <w:t>IANA, "Private Enterprise Numbers", </w:t>
      </w:r>
      <w:hyperlink r:id="rId10">
        <w:r>
          <w:rPr>
            <w:spacing w:val="-2"/>
          </w:rPr>
          <w:t>http://www.iana.org/assignments/enterprise-numbers</w:t>
        </w:r>
      </w:hyperlink>
      <w:r>
        <w:rPr>
          <w:spacing w:val="-2"/>
        </w:rPr>
        <w:t>.</w:t>
      </w:r>
    </w:p>
    <w:p>
      <w:pPr>
        <w:pStyle w:val="BodyText"/>
        <w:spacing w:before="215"/>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11">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2">
        <w:r>
          <w:rPr>
            <w:spacing w:val="-2"/>
          </w:rPr>
          <w:t>http://www.ietf.org/ipr</w:t>
        </w:r>
      </w:hyperlink>
      <w:r>
        <w:rPr>
          <w:spacing w:val="-2"/>
        </w:rPr>
        <w:t>.</w:t>
      </w:r>
    </w:p>
    <w:p>
      <w:pPr>
        <w:pStyle w:val="BodyText"/>
        <w:spacing w:line="232" w:lineRule="auto" w:before="222"/>
        <w:ind w:right="43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3">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2848">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13632"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3360">
              <wp:simplePos x="0" y="0"/>
              <wp:positionH relativeFrom="page">
                <wp:posOffset>3213100</wp:posOffset>
              </wp:positionH>
              <wp:positionV relativeFrom="page">
                <wp:posOffset>8314370</wp:posOffset>
              </wp:positionV>
              <wp:extent cx="10160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6000" cy="169545"/>
                      </a:xfrm>
                      <a:prstGeom prst="rect">
                        <a:avLst/>
                      </a:prstGeom>
                    </wps:spPr>
                    <wps:txbx>
                      <w:txbxContent>
                        <w:p>
                          <w:pPr>
                            <w:pStyle w:val="BodyText"/>
                            <w:spacing w:before="20"/>
                            <w:ind w:left="20"/>
                          </w:pPr>
                          <w:r>
                            <w:rPr>
                              <w:spacing w:val="-2"/>
                            </w:rPr>
                            <w:t>Informational</w:t>
                          </w:r>
                        </w:p>
                      </w:txbxContent>
                    </wps:txbx>
                    <wps:bodyPr wrap="square" lIns="0" tIns="0" rIns="0" bIns="0" rtlCol="0">
                      <a:noAutofit/>
                    </wps:bodyPr>
                  </wps:wsp>
                </a:graphicData>
              </a:graphic>
            </wp:anchor>
          </w:drawing>
        </mc:Choice>
        <mc:Fallback>
          <w:pict>
            <v:shape style="position:absolute;margin-left:253.000015pt;margin-top:654.674805pt;width:80pt;height:13.35pt;mso-position-horizontal-relative:page;mso-position-vertical-relative:page;z-index:-15813120" type="#_x0000_t202" id="docshape2" filled="false" stroked="false">
              <v:textbox inset="0,0,0,0">
                <w:txbxContent>
                  <w:p>
                    <w:pPr>
                      <w:pStyle w:val="BodyText"/>
                      <w:spacing w:before="20"/>
                      <w:ind w:left="20"/>
                    </w:pPr>
                    <w:r>
                      <w:rPr>
                        <w:spacing w:val="-2"/>
                      </w:rPr>
                      <w:t>Informational</w:t>
                    </w:r>
                  </w:p>
                </w:txbxContent>
              </v:textbox>
              <w10:wrap type="none"/>
            </v:shape>
          </w:pict>
        </mc:Fallback>
      </mc:AlternateContent>
    </w:r>
    <w:r>
      <w:rPr/>
      <mc:AlternateContent>
        <mc:Choice Requires="wps">
          <w:drawing>
            <wp:anchor distT="0" distB="0" distL="0" distR="0" allowOverlap="1" layoutInCell="1" locked="0" behindDoc="1" simplePos="0" relativeHeight="48750387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1260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5920">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10560"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506432">
              <wp:simplePos x="0" y="0"/>
              <wp:positionH relativeFrom="page">
                <wp:posOffset>3213100</wp:posOffset>
              </wp:positionH>
              <wp:positionV relativeFrom="page">
                <wp:posOffset>8034970</wp:posOffset>
              </wp:positionV>
              <wp:extent cx="10160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16000" cy="169545"/>
                      </a:xfrm>
                      <a:prstGeom prst="rect">
                        <a:avLst/>
                      </a:prstGeom>
                    </wps:spPr>
                    <wps:txbx>
                      <w:txbxContent>
                        <w:p>
                          <w:pPr>
                            <w:pStyle w:val="BodyText"/>
                            <w:spacing w:before="20"/>
                            <w:ind w:left="20"/>
                          </w:pPr>
                          <w:r>
                            <w:rPr>
                              <w:spacing w:val="-2"/>
                            </w:rPr>
                            <w:t>Informational</w:t>
                          </w:r>
                        </w:p>
                      </w:txbxContent>
                    </wps:txbx>
                    <wps:bodyPr wrap="square" lIns="0" tIns="0" rIns="0" bIns="0" rtlCol="0">
                      <a:noAutofit/>
                    </wps:bodyPr>
                  </wps:wsp>
                </a:graphicData>
              </a:graphic>
            </wp:anchor>
          </w:drawing>
        </mc:Choice>
        <mc:Fallback>
          <w:pict>
            <v:shape style="position:absolute;margin-left:253.000015pt;margin-top:632.674805pt;width:80pt;height:13.35pt;mso-position-horizontal-relative:page;mso-position-vertical-relative:page;z-index:-15810048" type="#_x0000_t202" id="docshape8" filled="false" stroked="false">
              <v:textbox inset="0,0,0,0">
                <w:txbxContent>
                  <w:p>
                    <w:pPr>
                      <w:pStyle w:val="BodyText"/>
                      <w:spacing w:before="20"/>
                      <w:ind w:left="20"/>
                    </w:pPr>
                    <w:r>
                      <w:rPr>
                        <w:spacing w:val="-2"/>
                      </w:rPr>
                      <w:t>Informational</w:t>
                    </w:r>
                  </w:p>
                </w:txbxContent>
              </v:textbox>
              <w10:wrap type="none"/>
            </v:shape>
          </w:pict>
        </mc:Fallback>
      </mc:AlternateContent>
    </w:r>
    <w:r>
      <w:rPr/>
      <mc:AlternateContent>
        <mc:Choice Requires="wps">
          <w:drawing>
            <wp:anchor distT="0" distB="0" distL="0" distR="0" allowOverlap="1" layoutInCell="1" locked="0" behindDoc="1" simplePos="0" relativeHeight="487506944">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0953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0438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4529</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12096" type="#_x0000_t202" id="docshape4" filled="false" stroked="false">
              <v:textbox inset="0,0,0,0">
                <w:txbxContent>
                  <w:p>
                    <w:pPr>
                      <w:pStyle w:val="BodyText"/>
                      <w:spacing w:before="20"/>
                      <w:ind w:left="20"/>
                    </w:pPr>
                    <w:r>
                      <w:rPr/>
                      <w:t>RFC</w:t>
                    </w:r>
                    <w:r>
                      <w:rPr>
                        <w:spacing w:val="-3"/>
                      </w:rPr>
                      <w:t> </w:t>
                    </w:r>
                    <w:r>
                      <w:rPr>
                        <w:spacing w:val="-4"/>
                      </w:rPr>
                      <w:t>4529</w:t>
                    </w:r>
                  </w:p>
                </w:txbxContent>
              </v:textbox>
              <w10:wrap type="none"/>
            </v:shape>
          </w:pict>
        </mc:Fallback>
      </mc:AlternateContent>
    </w:r>
    <w:r>
      <w:rPr/>
      <mc:AlternateContent>
        <mc:Choice Requires="wps">
          <w:drawing>
            <wp:anchor distT="0" distB="0" distL="0" distR="0" allowOverlap="1" layoutInCell="1" locked="0" behindDoc="1" simplePos="0" relativeHeight="487504896">
              <wp:simplePos x="0" y="0"/>
              <wp:positionH relativeFrom="page">
                <wp:posOffset>2298700</wp:posOffset>
              </wp:positionH>
              <wp:positionV relativeFrom="page">
                <wp:posOffset>491170</wp:posOffset>
              </wp:positionV>
              <wp:extent cx="28448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844800" cy="169545"/>
                      </a:xfrm>
                      <a:prstGeom prst="rect">
                        <a:avLst/>
                      </a:prstGeom>
                    </wps:spPr>
                    <wps:txbx>
                      <w:txbxContent>
                        <w:p>
                          <w:pPr>
                            <w:pStyle w:val="BodyText"/>
                            <w:spacing w:before="20"/>
                            <w:ind w:left="20"/>
                          </w:pPr>
                          <w:r>
                            <w:rPr/>
                            <w:t>Requesting</w:t>
                          </w:r>
                          <w:r>
                            <w:rPr>
                              <w:spacing w:val="-9"/>
                            </w:rPr>
                            <w:t> </w:t>
                          </w:r>
                          <w:r>
                            <w:rPr/>
                            <w:t>Attributes</w:t>
                          </w:r>
                          <w:r>
                            <w:rPr>
                              <w:spacing w:val="-7"/>
                            </w:rPr>
                            <w:t> </w:t>
                          </w:r>
                          <w:r>
                            <w:rPr/>
                            <w:t>by</w:t>
                          </w:r>
                          <w:r>
                            <w:rPr>
                              <w:spacing w:val="-7"/>
                            </w:rPr>
                            <w:t> </w:t>
                          </w:r>
                          <w:r>
                            <w:rPr/>
                            <w:t>Object</w:t>
                          </w:r>
                          <w:r>
                            <w:rPr>
                              <w:spacing w:val="-7"/>
                            </w:rPr>
                            <w:t> </w:t>
                          </w:r>
                          <w:r>
                            <w:rPr>
                              <w:spacing w:val="-2"/>
                            </w:rPr>
                            <w:t>Class</w:t>
                          </w:r>
                        </w:p>
                      </w:txbxContent>
                    </wps:txbx>
                    <wps:bodyPr wrap="square" lIns="0" tIns="0" rIns="0" bIns="0" rtlCol="0">
                      <a:noAutofit/>
                    </wps:bodyPr>
                  </wps:wsp>
                </a:graphicData>
              </a:graphic>
            </wp:anchor>
          </w:drawing>
        </mc:Choice>
        <mc:Fallback>
          <w:pict>
            <v:shape style="position:absolute;margin-left:181pt;margin-top:38.674805pt;width:224pt;height:13.35pt;mso-position-horizontal-relative:page;mso-position-vertical-relative:page;z-index:-15811584" type="#_x0000_t202" id="docshape5" filled="false" stroked="false">
              <v:textbox inset="0,0,0,0">
                <w:txbxContent>
                  <w:p>
                    <w:pPr>
                      <w:pStyle w:val="BodyText"/>
                      <w:spacing w:before="20"/>
                      <w:ind w:left="20"/>
                    </w:pPr>
                    <w:r>
                      <w:rPr/>
                      <w:t>Requesting</w:t>
                    </w:r>
                    <w:r>
                      <w:rPr>
                        <w:spacing w:val="-9"/>
                      </w:rPr>
                      <w:t> </w:t>
                    </w:r>
                    <w:r>
                      <w:rPr/>
                      <w:t>Attributes</w:t>
                    </w:r>
                    <w:r>
                      <w:rPr>
                        <w:spacing w:val="-7"/>
                      </w:rPr>
                      <w:t> </w:t>
                    </w:r>
                    <w:r>
                      <w:rPr/>
                      <w:t>by</w:t>
                    </w:r>
                    <w:r>
                      <w:rPr>
                        <w:spacing w:val="-7"/>
                      </w:rPr>
                      <w:t> </w:t>
                    </w:r>
                    <w:r>
                      <w:rPr/>
                      <w:t>Object</w:t>
                    </w:r>
                    <w:r>
                      <w:rPr>
                        <w:spacing w:val="-7"/>
                      </w:rPr>
                      <w:t> </w:t>
                    </w:r>
                    <w:r>
                      <w:rPr>
                        <w:spacing w:val="-2"/>
                      </w:rPr>
                      <w:t>Class</w:t>
                    </w:r>
                  </w:p>
                </w:txbxContent>
              </v:textbox>
              <w10:wrap type="none"/>
            </v:shape>
          </w:pict>
        </mc:Fallback>
      </mc:AlternateContent>
    </w:r>
    <w:r>
      <w:rPr/>
      <mc:AlternateContent>
        <mc:Choice Requires="wps">
          <w:drawing>
            <wp:anchor distT="0" distB="0" distL="0" distR="0" allowOverlap="1" layoutInCell="1" locked="0" behindDoc="1" simplePos="0" relativeHeight="48750540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1107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http://www.openldap.org/foundation/oid-delegate.txt" TargetMode="External"/><Relationship Id="rId10" Type="http://schemas.openxmlformats.org/officeDocument/2006/relationships/hyperlink" Target="http://www.iana.org/assignments/enterprise-numbers" TargetMode="External"/><Relationship Id="rId11" Type="http://schemas.openxmlformats.org/officeDocument/2006/relationships/hyperlink" Target="mailto:Kurt@OpenLDAP.org" TargetMode="External"/><Relationship Id="rId12" Type="http://schemas.openxmlformats.org/officeDocument/2006/relationships/hyperlink" Target="http://www.ietf.org/ipr" TargetMode="External"/><Relationship Id="rId13" Type="http://schemas.openxmlformats.org/officeDocument/2006/relationships/hyperlink" Target="mailto:ietf-ipr@ietf.org"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2026-01-19T03:25:58Z</dcterms:created>
  <dcterms:modified xsi:type="dcterms:W3CDTF">2026-01-19T03:25:58Z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