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7A33"/>
          <w:spacing w:val="100"/>
          <w:sz w:val="18"/>
          <w:szCs w:val="18"/>
        </w:rPr>
        <w:t xml:space="preserve">EXECUTIVE SUMMARY</w:t>
      </w:r>
    </w:p>
    <w:p>
      <w:pPr>
        <w:spacing w:after="40"/>
      </w:pPr>
      <w:r>
        <w:rPr>
          <w:rFonts w:ascii="Arial" w:cs="Arial" w:eastAsia="Arial" w:hAnsi="Arial"/>
          <w:b/>
          <w:bCs/>
          <w:color w:val="007A33"/>
          <w:sz w:val="30"/>
          <w:szCs w:val="30"/>
        </w:rPr>
        <w:t xml:space="preserve">Microsoft Authentication Methods Migration: Industry Validation</w:t>
      </w:r>
    </w:p>
    <w:p>
      <w:pPr>
        <w:spacing w:after="100"/>
      </w:pPr>
      <w:r>
        <w:rPr>
          <w:rFonts w:ascii="Arial" w:cs="Arial" w:eastAsia="Arial" w:hAnsi="Arial"/>
          <w:color w:val="666666"/>
          <w:sz w:val="16"/>
          <w:szCs w:val="16"/>
        </w:rPr>
        <w:t xml:space="preserve">February 14, 2026  |  Prepared by Jack Stewart, IAM Engineer  |  Audience: University Leadership</w:t>
      </w:r>
    </w:p>
    <w:p>
      <w:pPr>
        <w:pBdr>
          <w:bottom w:val="single" w:color="007A33" w:sz="6" w:space="1"/>
        </w:pBdr>
        <w:spacing w:before="0" w:after="0"/>
      </w:pPr>
    </w:p>
    <w:p>
      <w:pPr>
        <w:pStyle w:val="Heading1"/>
      </w:pPr>
      <w:r>
        <w:t xml:space="preserve">Situation</w:t>
      </w:r>
    </w:p>
    <w:p>
      <w:pPr>
        <w:spacing w:after="80"/>
      </w:pPr>
      <w:r>
        <w:rPr>
          <w:rFonts w:ascii="Arial" w:cs="Arial" w:eastAsia="Arial" w:hAnsi="Arial"/>
          <w:color w:val="333333"/>
          <w:sz w:val="20"/>
          <w:szCs w:val="20"/>
        </w:rPr>
        <w:t xml:space="preserve">On January 28, 2026, UNT System migrated to Microsoft’s new Authentication Methods framework, simultaneously de-federating from ADFS, enabling Password Hash Sync, and configuring Cisco Duo as an External Authentication Method. This migration was required by Microsoft’s September 30, 2025 deprecation of legacy MFA and SSPR policies. Users are now experiencing more frequent Duo prompts and occasional inconsistent MFA behavior on mobile devices. </w:t>
      </w:r>
      <w:r>
        <w:rPr>
          <w:rFonts w:ascii="Arial" w:cs="Arial" w:eastAsia="Arial" w:hAnsi="Arial"/>
          <w:b/>
          <w:bCs/>
          <w:color w:val="333333"/>
          <w:sz w:val="20"/>
          <w:szCs w:val="20"/>
        </w:rPr>
        <w:t xml:space="preserve">Both behaviors are expected and consistent with industry-wide experience.</w:t>
      </w:r>
    </w:p>
    <w:p>
      <w:pPr>
        <w:pStyle w:val="Heading1"/>
      </w:pPr>
      <w:r>
        <w:t xml:space="preserve">Key Findings from Industry Research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007A33" w:val="clear"/>
            <w:tcMar>
              <w:top w:type="dxa" w:w="60"/>
              <w:left w:type="dxa" w:w="100"/>
              <w:bottom w:type="dxa" w:w="60"/>
              <w:right w:type="dxa" w:w="100"/>
            </w:tcMar>
          </w:tcPr>
          <w:p>
            <w:r>
              <w:rPr>
                <w:rFonts w:ascii="Arial" w:cs="Arial" w:eastAsia="Arial" w:hAnsi="Arial"/>
                <w:b/>
                <w:bCs/>
                <w:color w:val="FFFFFF"/>
                <w:sz w:val="18"/>
                <w:szCs w:val="18"/>
              </w:rPr>
              <w:t xml:space="preserve">Finding</w:t>
            </w:r>
          </w:p>
        </w:tc>
        <w:tc>
          <w:tcPr>
            <w:tcW w:type="dxa" w:w="6880"/>
            <w:tcBorders>
              <w:top w:val="single" w:color="CCCCCC" w:sz="1"/>
              <w:left w:val="single" w:color="CCCCCC" w:sz="1"/>
              <w:bottom w:val="single" w:color="CCCCCC" w:sz="1"/>
              <w:right w:val="single" w:color="CCCCCC" w:sz="1"/>
            </w:tcBorders>
            <w:shd w:fill="007A33"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Daily Duo prompts are by design</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The Conditional Access policy requires MFA for all cloud apps. The prompt frequency is controlled by Duo’s “remembered device” cookie duration. Under ADFS, this was typically 30 days. The current setting is shorter, causing more frequent prompts. This is adjustable in the Duo Admin Panel.</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Authenticator appears despite being disabled</w:t>
            </w:r>
          </w:p>
        </w:tc>
        <w:tc>
          <w:tcPr>
            <w:tcW w:type="dxa" w:w="68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Microsoft Teams and other M365 mobile apps embed an Authenticator SDK that creates a device-level authentication broker. This broker exists only on the device — it does not appear on the user object in Entra ID and cannot be seen, audited, or removed by administrators. Other organizations using Duo EAM report identical behavior (Cisco Community, Microsoft Q&amp;A).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Admin lockouts post-migration are common</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Multiple organizations report Global Administrators being locked out of their tenants after migration. Microsoft Q&amp;A documents cases requiring direct Microsoft support intervention to restore access.</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Orphaned registrations are undocumented</w:t>
            </w:r>
          </w:p>
        </w:tc>
        <w:tc>
          <w:tcPr>
            <w:tcW w:type="dxa" w:w="68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Deleting an authentication method configuration does not clean up registrations on user objects. Neither Microsoft nor Cisco document this. UNT System discovered and remediated this across 72,274 users — no other organization has publicly documented doing so.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“Microsoft managed” defaults cause confusion</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Multiple settings default to “Microsoft managed,” which silently enables Authenticator enrollment. Administrators across the industry report spending hours troubleshooting this. One Microsoft Q&amp;A thread has hundreds of responses from affected admins.</w:t>
            </w:r>
          </w:p>
        </w:tc>
      </w:tr>
    </w:tbl>
    <w:p>
      <w:pPr>
        <w:pStyle w:val="Heading1"/>
      </w:pPr>
      <w:r>
        <w:t xml:space="preserve">Business Continuity Risk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44536" w:sz="2"/>
              <w:left w:val="single" w:color="C44536" w:sz="8"/>
              <w:bottom w:val="single" w:color="C44536" w:sz="2"/>
              <w:right w:val="single" w:color="C44536" w:sz="2"/>
            </w:tcBorders>
            <w:shd w:fill="FDF2F0" w:val="clear"/>
            <w:tcMar>
              <w:top w:type="dxa" w:w="100"/>
              <w:left w:type="dxa" w:w="160"/>
              <w:bottom w:type="dxa" w:w="100"/>
              <w:right w:type="dxa" w:w="160"/>
            </w:tcMar>
          </w:tcPr>
          <w:p>
            <w:pPr>
              <w:spacing w:after="60"/>
            </w:pPr>
            <w:r>
              <w:rPr>
                <w:rFonts w:ascii="Arial" w:cs="Arial" w:eastAsia="Arial" w:hAnsi="Arial"/>
                <w:b/>
                <w:bCs/>
                <w:color w:val="C44536"/>
                <w:sz w:val="20"/>
                <w:szCs w:val="20"/>
              </w:rPr>
              <w:t xml:space="preserve">RISK: No “Fail Open” Capability</w:t>
            </w:r>
          </w:p>
          <w:p>
            <w:pPr>
              <w:spacing w:after="0"/>
            </w:pPr>
            <w:r>
              <w:rPr>
                <w:rFonts w:ascii="Arial" w:cs="Arial" w:eastAsia="Arial" w:hAnsi="Arial"/>
                <w:color w:val="333333"/>
                <w:sz w:val="19"/>
                <w:szCs w:val="19"/>
              </w:rPr>
              <w:t xml:space="preserve">Under the previous ADFS configuration, a “fail open” setting allowed users to authenticate without MFA during a Duo outage. The new Entra ID architecture has no equivalent mechanism. If Cisco Duo is unreachable and no alternative MFA method is enabled, all internal users are locked out of Microsoft 365 services — including Outlook, Teams, and SharePoint — for the duration of the outage. Entra ID’s Conditional Access engine does not support “skip MFA” logic. Microsoft does not support authentication method priority or ordered fallback.</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A7D44" w:sz="2"/>
              <w:left w:val="single" w:color="3A7D44" w:sz="8"/>
              <w:bottom w:val="single" w:color="3A7D44" w:sz="2"/>
              <w:right w:val="single" w:color="3A7D44" w:sz="2"/>
            </w:tcBorders>
            <w:shd w:fill="F0F7EE" w:val="clear"/>
            <w:tcMar>
              <w:top w:type="dxa" w:w="100"/>
              <w:left w:type="dxa" w:w="160"/>
              <w:bottom w:type="dxa" w:w="100"/>
              <w:right w:type="dxa" w:w="160"/>
            </w:tcMar>
          </w:tcPr>
          <w:p>
            <w:pPr>
              <w:spacing w:after="60"/>
            </w:pPr>
            <w:r>
              <w:rPr>
                <w:rFonts w:ascii="Arial" w:cs="Arial" w:eastAsia="Arial" w:hAnsi="Arial"/>
                <w:b/>
                <w:bCs/>
                <w:color w:val="3A7D44"/>
                <w:sz w:val="20"/>
                <w:szCs w:val="20"/>
              </w:rPr>
              <w:t xml:space="preserve">RECOMMENDATION: Enable SMS/Voice as Automatic Fallback</w:t>
            </w:r>
          </w:p>
          <w:p>
            <w:pPr>
              <w:spacing w:after="0"/>
            </w:pPr>
            <w:r>
              <w:rPr>
                <w:rFonts w:ascii="Arial" w:cs="Arial" w:eastAsia="Arial" w:hAnsi="Arial"/>
                <w:color w:val="333333"/>
                <w:sz w:val="19"/>
                <w:szCs w:val="19"/>
              </w:rPr>
              <w:t xml:space="preserve">Enable SMS and Voice Call as supplemental MFA methods for internal users. These methods function independently of Duo and provide an automatic fallback during a service disruption without requiring manual administrative intervention. Tradeoff: users will see SMS and Voice as equal options alongside Duo (there is no way to set Duo as preferred). Some users may select SMS for convenience. However, SMS and Voice remain legitimate MFA, and ensuring access during an outage outweighs this user experience compromise.</w:t>
            </w:r>
          </w:p>
        </w:tc>
      </w:tr>
    </w:tbl>
    <w:p>
      <w:r>
        <w:br w:type="page"/>
      </w:r>
    </w:p>
    <w:p>
      <w:pPr>
        <w:pStyle w:val="Heading1"/>
      </w:pPr>
      <w:r>
        <w:t xml:space="preserve">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007A33"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7880"/>
            <w:tcBorders>
              <w:top w:val="single" w:color="CCCCCC" w:sz="1"/>
              <w:left w:val="single" w:color="CCCCCC" w:sz="1"/>
              <w:bottom w:val="single" w:color="CCCCCC" w:sz="1"/>
              <w:right w:val="single" w:color="CCCCCC" w:sz="1"/>
            </w:tcBorders>
            <w:shd w:fill="007A33" w:val="clear"/>
            <w:tcMar>
              <w:top w:type="dxa" w:w="60"/>
              <w:left w:type="dxa" w:w="100"/>
              <w:bottom w:type="dxa" w:w="60"/>
              <w:right w:type="dxa" w:w="100"/>
            </w:tcMar>
          </w:tcPr>
          <w:p>
            <w:r>
              <w:rPr>
                <w:rFonts w:ascii="Arial" w:cs="Arial" w:eastAsia="Arial" w:hAnsi="Arial"/>
                <w:b/>
                <w:bCs/>
                <w:color w:val="FFFFFF"/>
                <w:sz w:val="18"/>
                <w:szCs w:val="18"/>
              </w:rPr>
              <w:t xml:space="preserve">Event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March 2023</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Microsoft announces deprecation of legacy MFA and SSPR policies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August 2025</w:t>
            </w:r>
          </w:p>
        </w:tc>
        <w:tc>
          <w:tcPr>
            <w:tcW w:type="dxa" w:w="78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IAM Engineer flags the need to begin migration. Concern is dismissed by colleagues who believed the change only affected Azure portal administrators. This reflected a common industry confusion between two distinct Microsoft mandates: the Authentication Methods policy migration (all users) and mandatory MFA enforcement for admin portals (admins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September 30, 2025</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Microsoft’s deprecation deadline passes. Legacy policy interfaces locked. UNT System enters unsupported state but experiences no immediate disruption due to Microsoft’s gradual enforcement.</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January 28, 2026</w:t>
            </w:r>
          </w:p>
        </w:tc>
        <w:tc>
          <w:tcPr>
            <w:tcW w:type="dxa" w:w="78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UNT System completes migration: ADFS de-federation, Password Hash Sync, Authentication Methods migration, and Duo EAM configuration executed in a single change window.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January–February 2026</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Post-migration: orphaned registration cleanup (72,274 users scanned), discovery of undocumented Authenticator broker behavior, Conditional Access policy tuning, and reauthentication frequency investigation.</w:t>
            </w:r>
          </w:p>
        </w:tc>
      </w:tr>
    </w:tbl>
    <w:p>
      <w:pPr>
        <w:pStyle w:val="Heading1"/>
      </w:pPr>
      <w:r>
        <w:t xml:space="preserve">What UNT System Did Differently</w:t>
      </w:r>
    </w:p>
    <w:p>
      <w:pPr>
        <w:pStyle w:val="ListParagraph"/>
        <w:numPr>
          <w:ilvl w:val="0"/>
          <w:numId w:val="2"/>
        </w:numPr>
        <w:spacing w:after="60"/>
      </w:pPr>
      <w:r>
        <w:rPr>
          <w:rFonts w:ascii="Arial" w:cs="Arial" w:eastAsia="Arial" w:hAnsi="Arial"/>
          <w:b/>
          <w:bCs/>
          <w:color w:val="333333"/>
          <w:sz w:val="20"/>
          <w:szCs w:val="20"/>
        </w:rPr>
        <w:t xml:space="preserve">Raised the alarm early: </w:t>
      </w:r>
      <w:r>
        <w:rPr>
          <w:rFonts w:ascii="Arial" w:cs="Arial" w:eastAsia="Arial" w:hAnsi="Arial"/>
          <w:color w:val="333333"/>
          <w:sz w:val="20"/>
          <w:szCs w:val="20"/>
        </w:rPr>
        <w:t xml:space="preserve">IAM Engineer identified the migration requirement in August 2025, before the September deadline.</w:t>
      </w:r>
    </w:p>
    <w:p>
      <w:pPr>
        <w:pStyle w:val="ListParagraph"/>
        <w:numPr>
          <w:ilvl w:val="0"/>
          <w:numId w:val="2"/>
        </w:numPr>
        <w:spacing w:after="60"/>
      </w:pPr>
      <w:r>
        <w:rPr>
          <w:rFonts w:ascii="Arial" w:cs="Arial" w:eastAsia="Arial" w:hAnsi="Arial"/>
          <w:b/>
          <w:bCs/>
          <w:color w:val="333333"/>
          <w:sz w:val="20"/>
          <w:szCs w:val="20"/>
        </w:rPr>
        <w:t xml:space="preserve">Discovered undocumented issues: </w:t>
      </w:r>
      <w:r>
        <w:rPr>
          <w:rFonts w:ascii="Arial" w:cs="Arial" w:eastAsia="Arial" w:hAnsi="Arial"/>
          <w:color w:val="333333"/>
          <w:sz w:val="20"/>
          <w:szCs w:val="20"/>
        </w:rPr>
        <w:t xml:space="preserve">Identified the Authenticator broker fallback and orphaned registration problems that are not documented by Microsoft, Cisco, or any third party.</w:t>
      </w:r>
    </w:p>
    <w:p>
      <w:pPr>
        <w:pStyle w:val="ListParagraph"/>
        <w:numPr>
          <w:ilvl w:val="0"/>
          <w:numId w:val="2"/>
        </w:numPr>
        <w:spacing w:after="60"/>
      </w:pPr>
      <w:r>
        <w:rPr>
          <w:rFonts w:ascii="Arial" w:cs="Arial" w:eastAsia="Arial" w:hAnsi="Arial"/>
          <w:b/>
          <w:bCs/>
          <w:color w:val="333333"/>
          <w:sz w:val="20"/>
          <w:szCs w:val="20"/>
        </w:rPr>
        <w:t xml:space="preserve">Built custom remediation tooling: </w:t>
      </w:r>
      <w:r>
        <w:rPr>
          <w:rFonts w:ascii="Arial" w:cs="Arial" w:eastAsia="Arial" w:hAnsi="Arial"/>
          <w:color w:val="333333"/>
          <w:sz w:val="20"/>
          <w:szCs w:val="20"/>
        </w:rPr>
        <w:t xml:space="preserve">Developed and executed PowerShell scripts to scan and clean 72,274 user objects. No other organization has publicly documented this cleanup.</w:t>
      </w:r>
    </w:p>
    <w:p>
      <w:pPr>
        <w:pStyle w:val="ListParagraph"/>
        <w:numPr>
          <w:ilvl w:val="0"/>
          <w:numId w:val="2"/>
        </w:numPr>
        <w:spacing w:after="60"/>
      </w:pPr>
      <w:r>
        <w:rPr>
          <w:rFonts w:ascii="Arial" w:cs="Arial" w:eastAsia="Arial" w:hAnsi="Arial"/>
          <w:b/>
          <w:bCs/>
          <w:color w:val="333333"/>
          <w:sz w:val="20"/>
          <w:szCs w:val="20"/>
        </w:rPr>
        <w:t xml:space="preserve">Executed a complex multi-system migration: </w:t>
      </w:r>
      <w:r>
        <w:rPr>
          <w:rFonts w:ascii="Arial" w:cs="Arial" w:eastAsia="Arial" w:hAnsi="Arial"/>
          <w:color w:val="333333"/>
          <w:sz w:val="20"/>
          <w:szCs w:val="20"/>
        </w:rPr>
        <w:t xml:space="preserve">ADFS de-federation + Password Hash Sync + Authentication Methods + Duo EAM in a single coordinated change window.</w:t>
      </w:r>
    </w:p>
    <w:p>
      <w:pPr>
        <w:pBdr>
          <w:bottom w:val="single" w:color="007A33" w:sz="6" w:space="1"/>
        </w:pBdr>
        <w:spacing w:before="160" w:after="0"/>
      </w:pPr>
    </w:p>
    <w:p>
      <w:pPr>
        <w:pStyle w:val="Heading1"/>
      </w:pPr>
      <w:r>
        <w:t xml:space="preserve">Bottom Line</w:t>
      </w:r>
    </w:p>
    <w:p>
      <w:pPr>
        <w:spacing w:after="80"/>
      </w:pPr>
      <w:r>
        <w:rPr>
          <w:rFonts w:ascii="Arial" w:cs="Arial" w:eastAsia="Arial" w:hAnsi="Arial"/>
          <w:b/>
          <w:bCs/>
          <w:color w:val="333333"/>
          <w:sz w:val="20"/>
          <w:szCs w:val="20"/>
        </w:rPr>
        <w:t xml:space="preserve">The current authentication behavior is working as designed. </w:t>
      </w:r>
      <w:r>
        <w:rPr>
          <w:rFonts w:ascii="Arial" w:cs="Arial" w:eastAsia="Arial" w:hAnsi="Arial"/>
          <w:color w:val="333333"/>
          <w:sz w:val="20"/>
          <w:szCs w:val="20"/>
        </w:rPr>
        <w:t xml:space="preserve">The challenges experienced during and after the migration are consistent with what organizations across the industry are reporting. The concerns raised by the IAM Engineer in August 2025 were well-founded — this migration affected all users, not just administrators, and required months of coordinated effort.</w:t>
      </w:r>
    </w:p>
    <w:p>
      <w:pPr>
        <w:spacing w:after="80"/>
      </w:pPr>
      <w:r>
        <w:rPr>
          <w:rFonts w:ascii="Arial" w:cs="Arial" w:eastAsia="Arial" w:hAnsi="Arial"/>
          <w:color w:val="333333"/>
          <w:sz w:val="20"/>
          <w:szCs w:val="20"/>
        </w:rPr>
        <w:t xml:space="preserve">The one open risk is the lack of a “fail open” mechanism during a Duo outage. Enabling SMS and Voice as fallback methods for internal users is recommended to ensure business continuity.</w:t>
      </w:r>
    </w:p>
    <w:p>
      <w:pPr>
        <w:spacing w:after="0"/>
      </w:pPr>
      <w:r>
        <w:rPr>
          <w:rFonts w:ascii="Arial" w:cs="Arial" w:eastAsia="Arial" w:hAnsi="Arial"/>
          <w:i/>
          <w:iCs/>
          <w:color w:val="666666"/>
          <w:sz w:val="20"/>
          <w:szCs w:val="20"/>
        </w:rPr>
        <w:t xml:space="preserve">A detailed brief with full source citations is available on request.</w:t>
      </w:r>
    </w:p>
    <w:sectPr>
      <w:headerReference w:type="default" r:id="rId6"/>
      <w:footerReference w:type="default" r:id="rId7"/>
      <w:pgSz w:w="12240" w:h="15840"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3"/>
      </w:pBdr>
      <w:tabs>
        <w:tab w:val="right" w:pos="10080"/>
      </w:tabs>
    </w:pPr>
    <w:r>
      <w:rPr>
        <w:rFonts w:ascii="Arial" w:cs="Arial" w:eastAsia="Arial" w:hAnsi="Arial"/>
        <w:color w:val="999999"/>
        <w:sz w:val="14"/>
        <w:szCs w:val="14"/>
      </w:rPr>
      <w:t xml:space="preserve">Confidential — Full brief available on request</w:t>
    </w:r>
    <w:r>
      <w:t xml:space="preserve">	</w:t>
    </w: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33" w:sz="4" w:space="3"/>
      </w:pBdr>
      <w:tabs>
        <w:tab w:val="right" w:pos="10080"/>
      </w:tabs>
      <w:spacing w:after="0"/>
    </w:pPr>
    <w:r>
      <w:rPr>
        <w:rFonts w:ascii="Arial" w:cs="Arial" w:eastAsia="Arial" w:hAnsi="Arial"/>
        <w:b/>
        <w:bCs/>
        <w:color w:val="007A33"/>
        <w:sz w:val="14"/>
        <w:szCs w:val="14"/>
      </w:rPr>
      <w:t xml:space="preserve">UNT SYSTEM  </w:t>
    </w:r>
    <w:r>
      <w:rPr>
        <w:rFonts w:ascii="Arial" w:cs="Arial" w:eastAsia="Arial" w:hAnsi="Arial"/>
        <w:color w:val="999999"/>
        <w:sz w:val="14"/>
        <w:szCs w:val="14"/>
      </w:rPr>
      <w:t xml:space="preserve">Identity &amp; Access Management</w:t>
    </w:r>
    <w:r>
      <w:t xml:space="preserve">	</w:t>
    </w:r>
    <w:r>
      <w:rPr>
        <w:rFonts w:ascii="Arial" w:cs="Arial" w:eastAsia="Arial" w:hAnsi="Arial"/>
        <w:i/>
        <w:iCs/>
        <w:color w:val="999999"/>
        <w:sz w:val="14"/>
        <w:szCs w:val="14"/>
      </w:rPr>
      <w:t xml:space="preserve">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7A33"/>
      <w:sz w:val="32"/>
      <w:szCs w:val="32"/>
    </w:rPr>
  </w:style>
  <w:style w:type="paragraph" w:styleId="Heading2">
    <w:name w:val="Heading 2"/>
    <w:basedOn w:val="Normal"/>
    <w:next w:val="Normal"/>
    <w:qFormat/>
    <w:rPr>
      <w:color w:val="007A33"/>
      <w:sz w:val="26"/>
      <w:szCs w:val="26"/>
    </w:rPr>
  </w:style>
  <w:style w:type="paragraph" w:styleId="Heading3">
    <w:name w:val="Heading 3"/>
    <w:basedOn w:val="Normal"/>
    <w:next w:val="Normal"/>
    <w:qFormat/>
    <w:rPr>
      <w:color w:val="005A29"/>
      <w:sz w:val="24"/>
      <w:szCs w:val="24"/>
    </w:rPr>
  </w:style>
  <w:style w:type="paragraph" w:styleId="Heading4">
    <w:name w:val="Heading 4"/>
    <w:basedOn w:val="Normal"/>
    <w:next w:val="Normal"/>
    <w:qFormat/>
    <w:rPr>
      <w:i/>
      <w:iCs/>
      <w:color w:val="007A33"/>
    </w:rPr>
  </w:style>
  <w:style w:type="paragraph" w:styleId="Heading5">
    <w:name w:val="Heading 5"/>
    <w:basedOn w:val="Normal"/>
    <w:next w:val="Normal"/>
    <w:qFormat/>
    <w:rPr>
      <w:color w:val="007A33"/>
    </w:rPr>
  </w:style>
  <w:style w:type="paragraph" w:styleId="Heading6">
    <w:name w:val="Heading 6"/>
    <w:basedOn w:val="Normal"/>
    <w:next w:val="Normal"/>
    <w:qFormat/>
    <w:rPr>
      <w:color w:val="005A29"/>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7A33"/>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Arial" w:cs="Arial" w:eastAsia="Arial" w:hAnsi="Arial"/>
      <w:b/>
      <w:bCs/>
      <w:color w:val="007A33"/>
      <w:sz w:val="26"/>
      <w:szCs w:val="26"/>
    </w:rPr>
  </w:style>
  <w:style w:type="paragraph" w:styleId="Heading2">
    <w:name w:val="Heading 2"/>
    <w:basedOn w:val="Normal"/>
    <w:next w:val="Normal"/>
    <w:qFormat/>
    <w:pPr>
      <w:spacing w:before="160" w:after="80"/>
      <w:outlineLvl w:val="1"/>
    </w:pPr>
    <w:rPr>
      <w:rFonts w:ascii="Arial" w:cs="Arial" w:eastAsia="Arial" w:hAnsi="Arial"/>
      <w:b/>
      <w:bCs/>
      <w:color w:val="007A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2026-02-14T22:45:01.733Z</dcterms:created>
  <dcterms:modified xsi:type="dcterms:W3CDTF">2026-02-14T22:45:01.735Z</dcterms:modified>
</cp:coreProperties>
</file>

<file path=docProps/custom.xml><?xml version="1.0" encoding="utf-8"?>
<Properties xmlns="http://schemas.openxmlformats.org/officeDocument/2006/custom-properties" xmlns:vt="http://schemas.openxmlformats.org/officeDocument/2006/docPropsVTypes"/>
</file>