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F3864"/>
          <w:sz w:val="56"/>
          <w:szCs w:val="56"/>
        </w:rPr>
        <w:t xml:space="preserve">Proposal</w:t>
      </w:r>
    </w:p>
    <w:p>
      <w:pPr>
        <w:spacing w:after="100"/>
        <w:jc w:val="center"/>
      </w:pPr>
      <w:r>
        <w:rPr>
          <w:rFonts w:ascii="Arial" w:cs="Arial" w:eastAsia="Arial" w:hAnsi="Arial"/>
          <w:color w:val="1F3864"/>
          <w:sz w:val="44"/>
          <w:szCs w:val="44"/>
        </w:rPr>
        <w:t xml:space="preserve">Entra ID Multi-Tenant Environment</w:t>
      </w:r>
    </w:p>
    <w:p>
      <w:pPr>
        <w:spacing w:after="100"/>
        <w:jc w:val="center"/>
      </w:pPr>
      <w:r>
        <w:rPr>
          <w:rFonts w:ascii="Arial" w:cs="Arial" w:eastAsia="Arial" w:hAnsi="Arial"/>
          <w:color w:val="1F3864"/>
          <w:sz w:val="44"/>
          <w:szCs w:val="44"/>
        </w:rPr>
        <w:t xml:space="preserve">for Testing, Staging, and Baseline Comparison</w:t>
      </w:r>
    </w:p>
    <w:p>
      <w:pPr>
        <w:spacing w:after="100"/>
      </w:pPr>
    </w:p>
    <w:p>
      <w:pPr>
        <w:spacing w:after="100"/>
      </w:pPr>
    </w:p>
    <w:p>
      <w:pPr>
        <w:spacing w:after="600"/>
        <w:jc w:val="center"/>
      </w:pPr>
      <w:r>
        <w:rPr>
          <w:color w:val="2E75B6"/>
          <w:sz w:val="28"/>
          <w:szCs w:val="28"/>
        </w:rPr>
        <w:t xml:space="preserve">UNT System — Identity and Access Management</w:t>
      </w:r>
    </w:p>
    <w:p>
      <w:pPr>
        <w:spacing w:after="100"/>
      </w:pPr>
    </w:p>
    <w:p>
      <w:pPr>
        <w:spacing w:after="100"/>
      </w:pPr>
    </w:p>
    <w:p>
      <w:pPr>
        <w:spacing w:after="100"/>
      </w:pPr>
    </w:p>
    <w:p>
      <w:pPr>
        <w:spacing w:after="100"/>
        <w:jc w:val="center"/>
      </w:pPr>
      <w:r>
        <w:rPr>
          <w:sz w:val="22"/>
          <w:szCs w:val="22"/>
        </w:rPr>
        <w:t xml:space="preserve">Prepared by: Jack Stewart, IAM Engineer</w:t>
      </w:r>
    </w:p>
    <w:p>
      <w:pPr>
        <w:spacing w:after="100"/>
        <w:jc w:val="center"/>
      </w:pPr>
      <w:r>
        <w:rPr>
          <w:sz w:val="22"/>
          <w:szCs w:val="22"/>
        </w:rPr>
        <w:t xml:space="preserve">Date: February 2026</w:t>
      </w:r>
    </w:p>
    <w:p>
      <w:pPr>
        <w:spacing w:after="100"/>
        <w:jc w:val="center"/>
      </w:pPr>
      <w:r>
        <w:rPr>
          <w:color w:val="808080"/>
          <w:sz w:val="22"/>
          <w:szCs w:val="22"/>
        </w:rPr>
        <w:t xml:space="preserve">Classification: Internal</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t xml:space="preserve">1. Executive Summary</w:t>
      </w:r>
    </w:p>
    <w:p>
      <w:pPr>
        <w:spacing w:after="200"/>
      </w:pPr>
      <w:r>
        <w:t xml:space="preserve">This proposal requests the establishment of two persistent, licensed Microsoft Entra ID tenants to complement the existing production tenant. Together, these three tenants will provide the UNT System Identity and Access Management team with the testing, staging, and baseline comparison environments necessary to safely execute identity infrastructure projects over the next four years and beyond.</w:t>
      </w:r>
    </w:p>
    <w:p>
      <w:pPr>
        <w:spacing w:after="200"/>
      </w:pPr>
      <w:r>
        <w:t xml:space="preserve">The January 2026 authentication methods migration demonstrated that changes to Entra ID security configurations can have far-reaching, underdocumented consequences affecting tens of thousands of users. Without a dedicated test environment, the IAM team was forced to troubleshoot in production, resulting in extended remediation efforts that could have been avoided with proper pre-deployment validation.</w:t>
      </w:r>
    </w:p>
    <w:p>
      <w:pPr>
        <w:spacing w:after="200"/>
      </w:pPr>
      <w:r>
        <w:t xml:space="preserve">This proposal outlines a three-tenant model that provides a staging environment for pre-production testing and a greenfield baseline for comparison, both maintained as persistent, licensed infrastructure rather than temporary resources.</w:t>
      </w:r>
    </w:p>
    <w:p>
      <w:pPr>
        <w:pStyle w:val="Heading1"/>
        <w:spacing w:before="360" w:after="200"/>
      </w:pPr>
      <w:r>
        <w:t xml:space="preserve">2. Background and Justification</w:t>
      </w:r>
    </w:p>
    <w:p>
      <w:pPr>
        <w:pStyle w:val="Heading2"/>
        <w:spacing w:before="360" w:after="200"/>
      </w:pPr>
      <w:r>
        <w:t xml:space="preserve">2.1 The Authentication Methods Migration</w:t>
      </w:r>
    </w:p>
    <w:p>
      <w:pPr>
        <w:spacing w:after="200"/>
      </w:pPr>
      <w:r>
        <w:t xml:space="preserve">On January 28, 2026, the IAM team executed the planned migration from ADFS federation to Entra ID native authentication with Cisco Duo configured as an External Authentication Method. This was a high-impact change affecting over 72,000 user accounts across all three UNT System institutions.</w:t>
      </w:r>
    </w:p>
    <w:p>
      <w:pPr>
        <w:spacing w:after="200"/>
      </w:pPr>
      <w:r>
        <w:t xml:space="preserve">During and after the migration, the team encountered issues that were not documented by either Microsoft or Cisco Duo, including:</w:t>
      </w:r>
    </w:p>
    <w:p>
      <w:pPr>
        <w:pStyle w:val="ListParagraph"/>
        <w:numPr>
          <w:ilvl w:val="0"/>
          <w:numId w:val="2"/>
        </w:numPr>
        <w:spacing w:after="100"/>
      </w:pPr>
      <w:r>
        <w:t xml:space="preserve">Deleting an External Authentication Method configuration does not remove the corresponding authentication method registrations from individual user objects, leaving orphaned entries on every affected account.</w:t>
      </w:r>
    </w:p>
    <w:p>
      <w:pPr>
        <w:pStyle w:val="ListParagraph"/>
        <w:numPr>
          <w:ilvl w:val="0"/>
          <w:numId w:val="2"/>
        </w:numPr>
        <w:spacing w:after="100"/>
      </w:pPr>
      <w:r>
        <w:t xml:space="preserve">Neither Microsoft’s migration guide nor Duo’s External Authentication Method documentation addressed the need to audit or clean up user-level authentication method registrations prior to migration.</w:t>
      </w:r>
    </w:p>
    <w:p>
      <w:pPr>
        <w:pStyle w:val="ListParagraph"/>
        <w:numPr>
          <w:ilvl w:val="0"/>
          <w:numId w:val="2"/>
        </w:numPr>
        <w:spacing w:after="100"/>
      </w:pPr>
      <w:r>
        <w:t xml:space="preserve">The migration status setting operates at the tenant policy level, but the actual user authentication method state exists at the individual object level, creating a disconnect between policy configuration and user experience.</w:t>
      </w:r>
    </w:p>
    <w:p>
      <w:pPr>
        <w:pStyle w:val="ListParagraph"/>
        <w:numPr>
          <w:ilvl w:val="0"/>
          <w:numId w:val="2"/>
        </w:numPr>
        <w:spacing w:after="100"/>
      </w:pPr>
      <w:r>
        <w:t xml:space="preserve">Administrators experienced unexpected MFA prompts due to authentication strength configurations that required time to propagate, with no way to pre-validate the behavior before go-live.</w:t>
      </w:r>
    </w:p>
    <w:p>
      <w:pPr>
        <w:spacing w:after="200"/>
      </w:pPr>
      <w:r>
        <w:t xml:space="preserve">The IAM team successfully resolved all issues through custom PowerShell scripts, including a full scan of all 72,274 user accounts to verify cleanup. However, the absence of a test environment meant that every troubleshooting step was performed against production, with real users experiencing authentication disruptions.</w:t>
      </w:r>
    </w:p>
    <w:p>
      <w:pPr>
        <w:pStyle w:val="Heading2"/>
        <w:spacing w:before="360" w:after="200"/>
      </w:pPr>
      <w:r>
        <w:t xml:space="preserve">2.2 Inherited Configuration Risk</w:t>
      </w:r>
    </w:p>
    <w:p>
      <w:pPr>
        <w:spacing w:after="200"/>
      </w:pPr>
      <w:r>
        <w:t xml:space="preserve">The current production Entra ID tenant contains security configurations established by previous administrators. Without comprehensive documentation of what was configured and why, the IAM team cannot determine with confidence whether existing settings represent deliberate security decisions, default configurations, or configuration drift.</w:t>
      </w:r>
    </w:p>
    <w:p>
      <w:pPr>
        <w:spacing w:after="200"/>
      </w:pPr>
      <w:r>
        <w:t xml:space="preserve">A greenfield tenant provides the definitive answer to the question: “Is this setting something we configured, or is it what Microsoft delivers by default?” This eliminates guesswork from the audit process and enables the IAM team to make informed decisions about what to retain, modify, or remove.</w:t>
      </w:r>
    </w:p>
    <w:p>
      <w:pPr>
        <w:pStyle w:val="Heading2"/>
        <w:spacing w:before="360" w:after="200"/>
      </w:pPr>
      <w:r>
        <w:t xml:space="preserve">2.3 Precedent in Enterprise IT</w:t>
      </w:r>
    </w:p>
    <w:p>
      <w:pPr>
        <w:spacing w:after="200"/>
      </w:pPr>
      <w:r>
        <w:t xml:space="preserve">Maintaining parallel environments for production, testing, and baseline comparison is standard practice across enterprise IT. ERP platforms such as PeopleSoft have long established the expectation that organizations maintain a greenfield instance alongside production and test environments. Identity infrastructure, which underpins authentication and authorization for every university system, warrants the same rigor.</w:t>
      </w:r>
    </w:p>
    <w:p>
      <w:pPr>
        <w:pStyle w:val="Heading1"/>
        <w:spacing w:before="360" w:after="200"/>
      </w:pPr>
      <w:r>
        <w:t xml:space="preserve">3. Proposed Three-Tenant Model</w:t>
      </w:r>
    </w:p>
    <w:p>
      <w:pPr>
        <w:spacing w:after="200"/>
      </w:pPr>
      <w:r>
        <w:t xml:space="preserve">The following table defines the purpose, licensing, and user requirements for each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24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Production (myunt)</w:t>
            </w:r>
          </w:p>
        </w:tc>
        <w:tc>
          <w:tcPr>
            <w:tcW w:type="dxa" w:w="24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Staging (myunttest)</w:t>
            </w:r>
          </w:p>
        </w:tc>
        <w:tc>
          <w:tcPr>
            <w:tcW w:type="dxa" w:w="236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Greenfield (myuntsrc)</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pPr>
              <w:spacing w:after="0"/>
            </w:pPr>
            <w:r>
              <w:rPr>
                <w:b/>
                <w:bCs/>
              </w:rPr>
              <w:t xml:space="preserve">Domain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myunt.onmicrosoft.com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myunttest.onmicrosoft.com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myuntsrc.onmicrosoft.com</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pPr>
              <w:spacing w:after="0"/>
            </w:pPr>
            <w:r>
              <w:rPr>
                <w:b/>
                <w:bCs/>
              </w:rPr>
              <w:t xml:space="preserve">Purpose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Live identity services for all UNT System users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Pre-production testing and validation of changes before deployment to production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Untouched Microsoft default configuration for baseline comparison and audit</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pPr>
              <w:spacing w:after="0"/>
            </w:pPr>
            <w:r>
              <w:rPr>
                <w:b/>
                <w:bCs/>
              </w:rPr>
              <w:t xml:space="preserve">License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Entra ID P2 (existing)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Entra ID P2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Entra ID P2</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pPr>
              <w:spacing w:after="0"/>
            </w:pPr>
            <w:r>
              <w:rPr>
                <w:b/>
                <w:bCs/>
              </w:rPr>
              <w:t xml:space="preserve">Licensed Users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72,000+ (existing)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1,000 (starting)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100 (starting)</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pPr>
              <w:spacing w:after="0"/>
            </w:pPr>
            <w:r>
              <w:rPr>
                <w:b/>
                <w:bCs/>
              </w:rPr>
              <w:t xml:space="preserve">Configuration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Current production settings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Mirror of production, updated prior to each project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Microsoft defaults only; never modified</w:t>
            </w:r>
          </w:p>
        </w:tc>
      </w:tr>
      <w:tr>
        <w:tc>
          <w:tcPr>
            <w:tcW w:type="dxa" w:w="22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pPr>
              <w:spacing w:after="0"/>
            </w:pPr>
            <w:r>
              <w:rPr>
                <w:b/>
                <w:bCs/>
              </w:rPr>
              <w:t xml:space="preserve">Change Policy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Changes require validated test plan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Freely modifiable for testing; can be reset from production export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Read-only reference; no configuration changes permitted</w:t>
            </w:r>
          </w:p>
        </w:tc>
      </w:tr>
    </w:tbl>
    <w:p>
      <w:pPr>
        <w:spacing w:after="100"/>
      </w:pPr>
    </w:p>
    <w:p>
      <w:pPr>
        <w:pStyle w:val="Heading2"/>
        <w:spacing w:before="360" w:after="200"/>
      </w:pPr>
      <w:r>
        <w:t xml:space="preserve">3.1 Staging Tenant: myunttest</w:t>
      </w:r>
    </w:p>
    <w:p>
      <w:pPr>
        <w:spacing w:after="200"/>
      </w:pPr>
      <w:r>
        <w:t xml:space="preserve">The staging tenant serves as the primary pre-production validation environment. Before any security configuration change is applied to production, the change will first be executed and validated in the staging tenant according to the IAM Testing Methodology.</w:t>
      </w:r>
    </w:p>
    <w:p>
      <w:pPr>
        <w:spacing w:after="200"/>
      </w:pPr>
      <w:r>
        <w:t xml:space="preserve">The starting allocation of 1,000 licensed users provides a representative population sufficient to:</w:t>
      </w:r>
    </w:p>
    <w:p>
      <w:pPr>
        <w:pStyle w:val="ListParagraph"/>
        <w:numPr>
          <w:ilvl w:val="0"/>
          <w:numId w:val="3"/>
        </w:numPr>
        <w:spacing w:after="100"/>
      </w:pPr>
      <w:r>
        <w:t xml:space="preserve">Test group-scoped Conditional Access policies with meaningful user populations across multiple institutions and roles.</w:t>
      </w:r>
    </w:p>
    <w:p>
      <w:pPr>
        <w:pStyle w:val="ListParagraph"/>
        <w:numPr>
          <w:ilvl w:val="0"/>
          <w:numId w:val="3"/>
        </w:numPr>
        <w:spacing w:after="100"/>
      </w:pPr>
      <w:r>
        <w:t xml:space="preserve">Validate External Authentication Method behavior, including registration, prompting, and authentication strength enforcement.</w:t>
      </w:r>
    </w:p>
    <w:p>
      <w:pPr>
        <w:pStyle w:val="ListParagraph"/>
        <w:numPr>
          <w:ilvl w:val="0"/>
          <w:numId w:val="3"/>
        </w:numPr>
        <w:spacing w:after="100"/>
      </w:pPr>
      <w:r>
        <w:t xml:space="preserve">Execute regression testing to confirm that changes do not disrupt existing authentication flows.</w:t>
      </w:r>
    </w:p>
    <w:p>
      <w:pPr>
        <w:pStyle w:val="ListParagraph"/>
        <w:numPr>
          <w:ilvl w:val="0"/>
          <w:numId w:val="3"/>
        </w:numPr>
        <w:spacing w:after="100"/>
      </w:pPr>
      <w:r>
        <w:t xml:space="preserve">Simulate phased rollouts using the same group-based targeting approach used in production.</w:t>
      </w:r>
    </w:p>
    <w:p>
      <w:pPr>
        <w:spacing w:after="200"/>
      </w:pPr>
      <w:r>
        <w:t xml:space="preserve">P2 licensing is required in this tenant because many production security features depend on P2 capabilities. Without P2 in the staging environment, the IAM team cannot test Identity Protection policies, Privileged Identity Management configurations, risk-based Conditional Access, or access reviews. Testing P2-dependent features against a P1 or free tenant would provide incomplete validation and a false sense of readiness.</w:t>
      </w:r>
    </w:p>
    <w:p>
      <w:pPr>
        <w:pStyle w:val="Heading2"/>
        <w:spacing w:before="360" w:after="200"/>
      </w:pPr>
      <w:r>
        <w:t xml:space="preserve">3.2 Greenfield Tenant: myuntsrc</w:t>
      </w:r>
    </w:p>
    <w:p>
      <w:pPr>
        <w:spacing w:after="200"/>
      </w:pPr>
      <w:r>
        <w:t xml:space="preserve">The greenfield tenant is provisioned with P2 licensing and then left in its default state. It is never configured beyond the initial license activation. Its sole purpose is to serve as an authoritative reference for Microsoft’s out-of-box configuration.</w:t>
      </w:r>
    </w:p>
    <w:p>
      <w:pPr>
        <w:spacing w:after="200"/>
      </w:pPr>
      <w:r>
        <w:t xml:space="preserve">The 100 licensed users are sufficient to activate all P2 feature surfaces, ensuring that the IAM team can compare any production setting against the known default. This tenant answers questions such as:</w:t>
      </w:r>
    </w:p>
    <w:p>
      <w:pPr>
        <w:pStyle w:val="ListParagraph"/>
        <w:numPr>
          <w:ilvl w:val="0"/>
          <w:numId w:val="4"/>
        </w:numPr>
        <w:spacing w:after="100"/>
      </w:pPr>
      <w:r>
        <w:t xml:space="preserve">Which Conditional Access templates are enabled by default in a P2 tenant?</w:t>
      </w:r>
    </w:p>
    <w:p>
      <w:pPr>
        <w:pStyle w:val="ListParagraph"/>
        <w:numPr>
          <w:ilvl w:val="0"/>
          <w:numId w:val="4"/>
        </w:numPr>
        <w:spacing w:after="100"/>
      </w:pPr>
      <w:r>
        <w:t xml:space="preserve">What is the default authentication methods policy configuration?</w:t>
      </w:r>
    </w:p>
    <w:p>
      <w:pPr>
        <w:pStyle w:val="ListParagraph"/>
        <w:numPr>
          <w:ilvl w:val="0"/>
          <w:numId w:val="4"/>
        </w:numPr>
        <w:spacing w:after="100"/>
      </w:pPr>
      <w:r>
        <w:t xml:space="preserve">Which Identity Protection policies are active out of the box?</w:t>
      </w:r>
    </w:p>
    <w:p>
      <w:pPr>
        <w:pStyle w:val="ListParagraph"/>
        <w:numPr>
          <w:ilvl w:val="0"/>
          <w:numId w:val="4"/>
        </w:numPr>
        <w:spacing w:after="100"/>
      </w:pPr>
      <w:r>
        <w:t xml:space="preserve">What are the default security settings for password protection, registration campaigns, and authentication strengths?</w:t>
      </w:r>
    </w:p>
    <w:p>
      <w:pPr>
        <w:spacing w:after="200"/>
      </w:pPr>
      <w:r>
        <w:t xml:space="preserve">Without a P2 greenfield, the team would need to rely on Microsoft documentation to determine defaults. However, the authentication methods migration demonstrated that Microsoft’s documentation does not always accurately reflect actual tenant behavior, particularly around user-object-level configurations versus tenant-policy-level settings.</w:t>
      </w:r>
    </w:p>
    <w:p>
      <w:pPr>
        <w:pStyle w:val="Heading1"/>
        <w:spacing w:before="360" w:after="200"/>
      </w:pPr>
      <w:r>
        <w:t xml:space="preserve">4. The Case for Persistent Environments</w:t>
      </w:r>
    </w:p>
    <w:p>
      <w:pPr>
        <w:spacing w:after="200"/>
      </w:pPr>
      <w:r>
        <w:t xml:space="preserve">Microsoft offers 30-day P2 trial licenses. While trials are adequate for evaluating whether to purchase a product, they are unsuitable for ongoing infrastructure testing for the following reasons:</w:t>
      </w:r>
    </w:p>
    <w:p>
      <w:pPr>
        <w:pStyle w:val="Heading2"/>
        <w:spacing w:before="360" w:after="200"/>
      </w:pPr>
      <w:r>
        <w:t xml:space="preserve">4.1 Project Timelines Exceed Trial Periods</w:t>
      </w:r>
    </w:p>
    <w:p>
      <w:pPr>
        <w:spacing w:after="200"/>
      </w:pPr>
      <w:r>
        <w:t xml:space="preserve">The authentication methods migration project spanned from initial planning in September 2025 through final validation in February 2026—a five-month duration. Future Entra ID projects, including application migrations, PIM rollouts, and Conditional Access redesigns, will follow similar or longer timelines. A 30-day trial cannot support a multi-month project workstream.</w:t>
      </w:r>
    </w:p>
    <w:p>
      <w:pPr>
        <w:pStyle w:val="Heading2"/>
        <w:spacing w:before="360" w:after="200"/>
      </w:pPr>
      <w:r>
        <w:t xml:space="preserve">4.2 Continuity Between Projects</w:t>
      </w:r>
    </w:p>
    <w:p>
      <w:pPr>
        <w:spacing w:after="200"/>
      </w:pPr>
      <w:r>
        <w:t xml:space="preserve">Identity infrastructure projects do not occur in isolation. The staging tenant accumulates configuration state that reflects the current production environment. Destroying and recreating this state for each new project wastes engineering time and introduces the risk of configuration errors during reconstruction. A persistent staging tenant maintains readiness between projects.</w:t>
      </w:r>
    </w:p>
    <w:p>
      <w:pPr>
        <w:pStyle w:val="Heading2"/>
        <w:spacing w:before="360" w:after="200"/>
      </w:pPr>
      <w:r>
        <w:t xml:space="preserve">4.3 Greenfield Integrity</w:t>
      </w:r>
    </w:p>
    <w:p>
      <w:pPr>
        <w:spacing w:after="200"/>
      </w:pPr>
      <w:r>
        <w:t xml:space="preserve">A greenfield tenant created from a trial and then allowed to expire loses its value as a reference. If the tenant is deleted and recreated, there is no guarantee that Microsoft’s default configuration will be identical to the original baseline, since Microsoft regularly updates default tenant settings. A persistent greenfield created at a known point in time provides a stable reference that can be documented and versioned.</w:t>
      </w:r>
    </w:p>
    <w:p>
      <w:pPr>
        <w:pStyle w:val="Heading2"/>
        <w:spacing w:before="360" w:after="200"/>
      </w:pPr>
      <w:r>
        <w:t xml:space="preserve">4.4 Operational Readiness</w:t>
      </w:r>
    </w:p>
    <w:p>
      <w:pPr>
        <w:spacing w:after="200"/>
      </w:pPr>
      <w:r>
        <w:t xml:space="preserve">When a production issue arises—as it did during the authentication methods migration—the IAM team needs immediate access to a functional test environment. Provisioning a new trial tenant, activating licenses, and recreating configuration state under the pressure of a production incident is not viable. Persistent environments ensure the team can begin troubleshooting and validating fixes within minutes.</w:t>
      </w:r>
    </w:p>
    <w:p>
      <w:pPr>
        <w:pStyle w:val="Heading1"/>
        <w:spacing w:before="360" w:after="200"/>
      </w:pPr>
      <w:r>
        <w:t xml:space="preserve">5. Integration with the IAM Testing Methodology</w:t>
      </w:r>
    </w:p>
    <w:p>
      <w:pPr>
        <w:spacing w:after="200"/>
      </w:pPr>
      <w:r>
        <w:t xml:space="preserve">The IAM team has developed a formal testing methodology document that defines scope classifications, risk assessment criteria, testing phases, and approval workflows for identity infrastructure changes. The three-tenant model provides the physical environments required to execute this methodology:</w:t>
      </w:r>
    </w:p>
    <w:p>
      <w:pPr>
        <w:pStyle w:val="ListParagraph"/>
        <w:numPr>
          <w:ilvl w:val="0"/>
          <w:numId w:val="5"/>
        </w:numPr>
        <w:spacing w:after="100"/>
      </w:pPr>
      <w:r>
        <w:rPr>
          <w:b/>
          <w:bCs/>
        </w:rPr>
        <w:t xml:space="preserve">Greenfield (myuntsrc): </w:t>
      </w:r>
      <w:r>
        <w:t xml:space="preserve">Used during the planning phase to compare proposed changes against known defaults and to identify the scope of impact.</w:t>
      </w:r>
    </w:p>
    <w:p>
      <w:pPr>
        <w:pStyle w:val="ListParagraph"/>
        <w:numPr>
          <w:ilvl w:val="0"/>
          <w:numId w:val="5"/>
        </w:numPr>
        <w:spacing w:after="100"/>
      </w:pPr>
      <w:r>
        <w:rPr>
          <w:b/>
          <w:bCs/>
        </w:rPr>
        <w:t xml:space="preserve">Staging (myunttest): </w:t>
      </w:r>
      <w:r>
        <w:t xml:space="preserve">Used during smoke testing, functional testing, and regression testing phases. All test cases defined in the methodology are executed here before production deployment.</w:t>
      </w:r>
    </w:p>
    <w:p>
      <w:pPr>
        <w:pStyle w:val="ListParagraph"/>
        <w:numPr>
          <w:ilvl w:val="0"/>
          <w:numId w:val="5"/>
        </w:numPr>
        <w:spacing w:after="100"/>
      </w:pPr>
      <w:r>
        <w:rPr>
          <w:b/>
          <w:bCs/>
        </w:rPr>
        <w:t xml:space="preserve">Production (myunt): </w:t>
      </w:r>
      <w:r>
        <w:t xml:space="preserve">Receives changes only after successful validation in staging, with documented test results and required approvals.</w:t>
      </w:r>
    </w:p>
    <w:p>
      <w:pPr>
        <w:spacing w:after="200"/>
      </w:pPr>
      <w:r>
        <w:t xml:space="preserve">Without dedicated environments, the testing methodology remains a procedural document with no infrastructure to support its execution. The combination of documented process and supporting infrastructure establishes a mature change management practice for identity services.</w:t>
      </w:r>
    </w:p>
    <w:p>
      <w:pPr>
        <w:pStyle w:val="Heading1"/>
        <w:spacing w:before="360" w:after="200"/>
      </w:pPr>
      <w:r>
        <w:t xml:space="preserve">6. Cost Estimate</w:t>
      </w:r>
    </w:p>
    <w:p>
      <w:pPr>
        <w:spacing w:after="200"/>
      </w:pPr>
      <w:r>
        <w:t xml:space="preserve">The following table provides estimated monthly licensing costs based on current Microsoft Entra ID P2 pricing of $9.00 per user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Tenant</w:t>
            </w:r>
          </w:p>
        </w:tc>
        <w:tc>
          <w:tcPr>
            <w:tcW w:type="dxa" w:w="208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Licensed Users</w:t>
            </w:r>
          </w:p>
        </w:tc>
        <w:tc>
          <w:tcPr>
            <w:tcW w:type="dxa" w:w="208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Monthly Cost</w:t>
            </w:r>
          </w:p>
        </w:tc>
        <w:tc>
          <w:tcPr>
            <w:tcW w:type="dxa" w:w="208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Annual 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Staging (myunttest)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1,000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$9,000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$108,000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Greenfield (myuntsrc)</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$900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$10,800</w:t>
            </w:r>
          </w:p>
        </w:tc>
      </w:tr>
      <w:tr>
        <w:tc>
          <w:tcPr>
            <w:tcW w:type="dxa" w:w="312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pPr>
              <w:spacing w:after="0"/>
            </w:pPr>
            <w:r>
              <w:rPr>
                <w:b/>
                <w:bCs/>
              </w:rPr>
              <w:t xml:space="preserve">Total New Cost</w:t>
            </w:r>
          </w:p>
        </w:tc>
        <w:tc>
          <w:tcPr>
            <w:tcW w:type="dxa" w:w="208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pPr>
              <w:spacing w:after="0"/>
            </w:pPr>
            <w:r>
              <w:rPr>
                <w:b/>
                <w:bCs/>
              </w:rPr>
              <w:t xml:space="preserve">1,100</w:t>
            </w:r>
          </w:p>
        </w:tc>
        <w:tc>
          <w:tcPr>
            <w:tcW w:type="dxa" w:w="208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pPr>
              <w:spacing w:after="0"/>
            </w:pPr>
            <w:r>
              <w:rPr>
                <w:b/>
                <w:bCs/>
              </w:rPr>
              <w:t xml:space="preserve">$9,900</w:t>
            </w:r>
          </w:p>
        </w:tc>
        <w:tc>
          <w:tcPr>
            <w:tcW w:type="dxa" w:w="208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pPr>
              <w:spacing w:after="0"/>
            </w:pPr>
            <w:r>
              <w:rPr>
                <w:b/>
                <w:bCs/>
              </w:rPr>
              <w:t xml:space="preserve">$118,800</w:t>
            </w:r>
          </w:p>
        </w:tc>
      </w:tr>
    </w:tbl>
    <w:p>
      <w:pPr>
        <w:spacing w:after="100"/>
      </w:pPr>
    </w:p>
    <w:p>
      <w:pPr>
        <w:spacing w:after="200"/>
      </w:pPr>
      <w:r>
        <w:t xml:space="preserve">These costs may be reduced through UNT System’s existing Microsoft enterprise agreement or through educational pricing. The IAM team recommends consulting with procurement to confirm actual per-user pricing before budget finalization.</w:t>
      </w:r>
    </w:p>
    <w:p>
      <w:pPr>
        <w:spacing w:after="200"/>
      </w:pPr>
      <w:r>
        <w:rPr>
          <w:i/>
          <w:iCs/>
        </w:rPr>
        <w:t xml:space="preserve">Note: The greenfield tenant’s 100-user allocation is the minimum needed to activate all P2 feature surfaces for comparison purposes. The staging tenant’s 1,000-user allocation provides sufficient population for meaningful testing of group-scoped policies. Both allocations can be adjusted as requirements evolve.</w:t>
      </w:r>
    </w:p>
    <w:p>
      <w:pPr>
        <w:pStyle w:val="Heading1"/>
        <w:spacing w:before="360" w:after="200"/>
      </w:pPr>
      <w:r>
        <w:t xml:space="preserve">7. Projected Use Over Four Years</w:t>
      </w:r>
    </w:p>
    <w:p>
      <w:pPr>
        <w:spacing w:after="200"/>
      </w:pPr>
      <w:r>
        <w:t xml:space="preserve">The following projects represent planned or anticipated Entra ID workstreams that will benefit from staging and greenfield environments:</w:t>
      </w:r>
    </w:p>
    <w:p>
      <w:pPr>
        <w:pStyle w:val="ListParagraph"/>
        <w:numPr>
          <w:ilvl w:val="0"/>
          <w:numId w:val="6"/>
        </w:numPr>
        <w:spacing w:after="100"/>
      </w:pPr>
      <w:r>
        <w:t xml:space="preserve">Conditional Access policy redesign and consolidation across all three institutions.</w:t>
      </w:r>
    </w:p>
    <w:p>
      <w:pPr>
        <w:pStyle w:val="ListParagraph"/>
        <w:numPr>
          <w:ilvl w:val="0"/>
          <w:numId w:val="6"/>
        </w:numPr>
        <w:spacing w:after="100"/>
      </w:pPr>
      <w:r>
        <w:t xml:space="preserve">Privileged Identity Management (PIM) rollout for administrative roles.</w:t>
      </w:r>
    </w:p>
    <w:p>
      <w:pPr>
        <w:pStyle w:val="ListParagraph"/>
        <w:numPr>
          <w:ilvl w:val="0"/>
          <w:numId w:val="6"/>
        </w:numPr>
        <w:spacing w:after="100"/>
      </w:pPr>
      <w:r>
        <w:t xml:space="preserve">Enterprise application migration from on-premises authentication to Entra ID-based SSO.</w:t>
      </w:r>
    </w:p>
    <w:p>
      <w:pPr>
        <w:pStyle w:val="ListParagraph"/>
        <w:numPr>
          <w:ilvl w:val="0"/>
          <w:numId w:val="6"/>
        </w:numPr>
        <w:spacing w:after="100"/>
      </w:pPr>
      <w:r>
        <w:t xml:space="preserve">Entra ID Identity Protection policy tuning and risk-based Conditional Access implementation.</w:t>
      </w:r>
    </w:p>
    <w:p>
      <w:pPr>
        <w:pStyle w:val="ListParagraph"/>
        <w:numPr>
          <w:ilvl w:val="0"/>
          <w:numId w:val="6"/>
        </w:numPr>
        <w:spacing w:after="100"/>
      </w:pPr>
      <w:r>
        <w:t xml:space="preserve">Potential migration from Entra Connect Sync to Entra Cloud Sync.</w:t>
      </w:r>
    </w:p>
    <w:p>
      <w:pPr>
        <w:pStyle w:val="ListParagraph"/>
        <w:numPr>
          <w:ilvl w:val="0"/>
          <w:numId w:val="6"/>
        </w:numPr>
        <w:spacing w:after="100"/>
      </w:pPr>
      <w:r>
        <w:t xml:space="preserve">Access reviews implementation for compliance with FERPA and HIPAA requirements.</w:t>
      </w:r>
    </w:p>
    <w:p>
      <w:pPr>
        <w:pStyle w:val="ListParagraph"/>
        <w:numPr>
          <w:ilvl w:val="0"/>
          <w:numId w:val="6"/>
        </w:numPr>
        <w:spacing w:after="100"/>
      </w:pPr>
      <w:r>
        <w:t xml:space="preserve">Integration of additional Entra-based services as Microsoft continues to expand the platform.</w:t>
      </w:r>
    </w:p>
    <w:p>
      <w:pPr>
        <w:spacing w:after="200"/>
      </w:pPr>
      <w:r>
        <w:t xml:space="preserve">Each of these projects involves security-sensitive configuration changes that affect the entire user population. The three-tenant model ensures that every change is tested before deployment and can be compared against known baselines throughout the project lifecycle.</w:t>
      </w:r>
    </w:p>
    <w:p>
      <w:pPr>
        <w:pStyle w:val="Heading1"/>
        <w:spacing w:before="360" w:after="200"/>
      </w:pPr>
      <w:r>
        <w:t xml:space="preserve">8. Recommendation</w:t>
      </w:r>
    </w:p>
    <w:p>
      <w:pPr>
        <w:spacing w:after="200"/>
      </w:pPr>
      <w:r>
        <w:t xml:space="preserve">The IAM team recommends approval of:</w:t>
      </w:r>
    </w:p>
    <w:p>
      <w:pPr>
        <w:pStyle w:val="ListParagraph"/>
        <w:numPr>
          <w:ilvl w:val="0"/>
          <w:numId w:val="7"/>
        </w:numPr>
        <w:spacing w:after="100"/>
      </w:pPr>
      <w:r>
        <w:t xml:space="preserve">Provisioning a new Entra ID tenant (myuntsrc.onmicrosoft.com) to serve as a persistent greenfield baseline with 100 Entra ID P2 licenses.</w:t>
      </w:r>
    </w:p>
    <w:p>
      <w:pPr>
        <w:pStyle w:val="ListParagraph"/>
        <w:numPr>
          <w:ilvl w:val="0"/>
          <w:numId w:val="7"/>
        </w:numPr>
        <w:spacing w:after="100"/>
      </w:pPr>
      <w:r>
        <w:t xml:space="preserve">Upgrading the existing myunttest.onmicrosoft.com tenant from free to Entra ID P2 with 1,000 licensed users to serve as a persistent staging environment.</w:t>
      </w:r>
    </w:p>
    <w:p>
      <w:pPr>
        <w:pStyle w:val="ListParagraph"/>
        <w:numPr>
          <w:ilvl w:val="0"/>
          <w:numId w:val="7"/>
        </w:numPr>
        <w:spacing w:after="100"/>
      </w:pPr>
      <w:r>
        <w:t xml:space="preserve">Establishing operational policies that designate myuntsrc as read-only and myunttest as the mandatory pre-production validation environment for all identity infrastructure changes.</w:t>
      </w:r>
    </w:p>
    <w:p>
      <w:pPr>
        <w:spacing w:after="100"/>
      </w:pPr>
    </w:p>
    <w:p>
      <w:pPr>
        <w:spacing w:after="200"/>
      </w:pPr>
      <w:r>
        <w:t xml:space="preserve">These environments, combined with the IAM Testing Methodology, will provide the UNT System with a mature, repeatable process for managing identity infrastructure changes safely and with confidence.</w:t>
      </w:r>
    </w:p>
    <w:p>
      <w:r>
        <w:br w:type="page"/>
      </w:r>
    </w:p>
    <w:p>
      <w:pPr>
        <w:pStyle w:val="Heading1"/>
        <w:spacing w:before="360" w:after="20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400"/>
        <w:gridCol w:w="3960"/>
      </w:tblGrid>
      <w:tr>
        <w:tc>
          <w:tcPr>
            <w:tcW w:type="dxa" w:w="15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Author</w:t>
            </w:r>
          </w:p>
        </w:tc>
        <w:tc>
          <w:tcPr>
            <w:tcW w:type="dxa" w:w="396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2026-02-13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Jack Stewart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Initial draft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color w:val="808080"/>
        <w:sz w:val="16"/>
        <w:szCs w:val="16"/>
      </w:rPr>
      <w:t xml:space="preserve">Internal — UNT System IAM</w:t>
    </w:r>
    <w:r>
      <w:rPr>
        <w:color w:val="808080"/>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08080"/>
        <w:sz w:val="16"/>
        <w:szCs w:val="16"/>
      </w:rPr>
      <w:t xml:space="preserve">UNT System — Entra ID Multi-Tenant Environment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2026-02-14T00:47:35.316Z</dcterms:created>
  <dcterms:modified xsi:type="dcterms:W3CDTF">2026-02-14T00:47:35.316Z</dcterms:modified>
</cp:coreProperties>
</file>

<file path=docProps/custom.xml><?xml version="1.0" encoding="utf-8"?>
<Properties xmlns="http://schemas.openxmlformats.org/officeDocument/2006/custom-properties" xmlns:vt="http://schemas.openxmlformats.org/officeDocument/2006/docPropsVTypes"/>
</file>