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before="0"/>
        <w:ind w:left="160"/>
      </w:pPr>
      <w:r>
        <w:rPr/>
        <w:t>Request</w:t>
      </w:r>
      <w:r>
        <w:rPr>
          <w:spacing w:val="-7"/>
        </w:rPr>
        <w:t> </w:t>
      </w:r>
      <w:r>
        <w:rPr/>
        <w:t>for</w:t>
      </w:r>
      <w:r>
        <w:rPr>
          <w:spacing w:val="-6"/>
        </w:rPr>
        <w:t> </w:t>
      </w:r>
      <w:r>
        <w:rPr/>
        <w:t>Comments:</w:t>
      </w:r>
      <w:r>
        <w:rPr>
          <w:spacing w:val="-6"/>
        </w:rPr>
        <w:t> </w:t>
      </w:r>
      <w:r>
        <w:rPr>
          <w:spacing w:val="-4"/>
        </w:rPr>
        <w:t>4527</w:t>
      </w:r>
      <w:r>
        <w:rPr/>
        <w:tab/>
        <w:t>OpenLDAP</w:t>
      </w:r>
      <w:r>
        <w:rPr>
          <w:spacing w:val="-8"/>
        </w:rPr>
        <w:t> </w:t>
      </w:r>
      <w:r>
        <w:rPr>
          <w:spacing w:val="-2"/>
        </w:rPr>
        <w:t>Foundation</w:t>
      </w:r>
    </w:p>
    <w:p>
      <w:pPr>
        <w:pStyle w:val="BodyText"/>
        <w:tabs>
          <w:tab w:pos="7719" w:val="left" w:leader="none"/>
        </w:tabs>
        <w:spacing w:line="223" w:lineRule="exact" w:before="0"/>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before="0"/>
        <w:ind w:left="3280" w:right="1463" w:hanging="1440"/>
      </w:pPr>
      <w:r>
        <w:rPr/>
        <w:t>Lightweight</w:t>
      </w:r>
      <w:r>
        <w:rPr>
          <w:spacing w:val="-11"/>
        </w:rPr>
        <w:t> </w:t>
      </w:r>
      <w:r>
        <w:rPr/>
        <w:t>Directory</w:t>
      </w:r>
      <w:r>
        <w:rPr>
          <w:spacing w:val="-11"/>
        </w:rPr>
        <w:t> </w:t>
      </w:r>
      <w:r>
        <w:rPr/>
        <w:t>Access</w:t>
      </w:r>
      <w:r>
        <w:rPr>
          <w:spacing w:val="-11"/>
        </w:rPr>
        <w:t> </w:t>
      </w:r>
      <w:r>
        <w:rPr/>
        <w:t>Protocol</w:t>
      </w:r>
      <w:r>
        <w:rPr>
          <w:spacing w:val="-11"/>
        </w:rPr>
        <w:t> </w:t>
      </w:r>
      <w:r>
        <w:rPr/>
        <w:t>(LDAP) Read Entry Controls</w:t>
      </w:r>
    </w:p>
    <w:p>
      <w:pPr>
        <w:pStyle w:val="BodyText"/>
        <w:spacing w:before="209"/>
        <w:ind w:left="0"/>
      </w:pPr>
    </w:p>
    <w:p>
      <w:pPr>
        <w:pStyle w:val="BodyText"/>
        <w:spacing w:before="0"/>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7"/>
        <w:ind w:left="160"/>
      </w:pPr>
      <w:r>
        <w:rPr/>
        <w:t>Copyright</w:t>
      </w:r>
      <w:r>
        <w:rPr>
          <w:spacing w:val="-9"/>
        </w:rPr>
        <w:t> </w:t>
      </w:r>
      <w:r>
        <w:rPr>
          <w:spacing w:val="-2"/>
        </w:rPr>
        <w:t>Notice</w:t>
      </w:r>
    </w:p>
    <w:p>
      <w:pPr>
        <w:pStyle w:val="BodyText"/>
        <w:spacing w:before="213"/>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439"/>
      </w:pPr>
      <w:r>
        <w:rPr/>
        <w:t>This document specifies an extension to the Lightweight Directory Access</w:t>
      </w:r>
      <w:r>
        <w:rPr>
          <w:spacing w:val="-4"/>
        </w:rPr>
        <w:t> </w:t>
      </w:r>
      <w:r>
        <w:rPr/>
        <w:t>Protocol</w:t>
      </w:r>
      <w:r>
        <w:rPr>
          <w:spacing w:val="-4"/>
        </w:rPr>
        <w:t> </w:t>
      </w:r>
      <w:r>
        <w:rPr/>
        <w:t>(LDAP)</w:t>
      </w:r>
      <w:r>
        <w:rPr>
          <w:spacing w:val="-4"/>
        </w:rPr>
        <w:t> </w:t>
      </w:r>
      <w:r>
        <w:rPr/>
        <w:t>to</w:t>
      </w:r>
      <w:r>
        <w:rPr>
          <w:spacing w:val="-4"/>
        </w:rPr>
        <w:t> </w:t>
      </w:r>
      <w:r>
        <w:rPr/>
        <w:t>allow</w:t>
      </w:r>
      <w:r>
        <w:rPr>
          <w:spacing w:val="-4"/>
        </w:rPr>
        <w:t> </w:t>
      </w:r>
      <w:r>
        <w:rPr/>
        <w:t>the</w:t>
      </w:r>
      <w:r>
        <w:rPr>
          <w:spacing w:val="-4"/>
        </w:rPr>
        <w:t> </w:t>
      </w:r>
      <w:r>
        <w:rPr/>
        <w:t>client</w:t>
      </w:r>
      <w:r>
        <w:rPr>
          <w:spacing w:val="-4"/>
        </w:rPr>
        <w:t> </w:t>
      </w:r>
      <w:r>
        <w:rPr/>
        <w:t>to</w:t>
      </w:r>
      <w:r>
        <w:rPr>
          <w:spacing w:val="-4"/>
        </w:rPr>
        <w:t> </w:t>
      </w:r>
      <w:r>
        <w:rPr/>
        <w:t>read</w:t>
      </w:r>
      <w:r>
        <w:rPr>
          <w:spacing w:val="-4"/>
        </w:rPr>
        <w:t> </w:t>
      </w:r>
      <w:r>
        <w:rPr/>
        <w:t>the</w:t>
      </w:r>
      <w:r>
        <w:rPr>
          <w:spacing w:val="-4"/>
        </w:rPr>
        <w:t> </w:t>
      </w:r>
      <w:r>
        <w:rPr/>
        <w:t>target</w:t>
      </w:r>
      <w:r>
        <w:rPr>
          <w:spacing w:val="-4"/>
        </w:rPr>
        <w:t> </w:t>
      </w:r>
      <w:r>
        <w:rPr/>
        <w:t>entry of an update operation.</w:t>
      </w:r>
      <w:r>
        <w:rPr>
          <w:spacing w:val="80"/>
        </w:rPr>
        <w:t> </w:t>
      </w:r>
      <w:r>
        <w:rPr/>
        <w:t>The client may request to read the entry before</w:t>
      </w:r>
      <w:r>
        <w:rPr>
          <w:spacing w:val="-5"/>
        </w:rPr>
        <w:t> </w:t>
      </w:r>
      <w:r>
        <w:rPr/>
        <w:t>and/or</w:t>
      </w:r>
      <w:r>
        <w:rPr>
          <w:spacing w:val="-5"/>
        </w:rPr>
        <w:t> </w:t>
      </w:r>
      <w:r>
        <w:rPr/>
        <w:t>after</w:t>
      </w:r>
      <w:r>
        <w:rPr>
          <w:spacing w:val="-5"/>
        </w:rPr>
        <w:t> </w:t>
      </w:r>
      <w:r>
        <w:rPr/>
        <w:t>the</w:t>
      </w:r>
      <w:r>
        <w:rPr>
          <w:spacing w:val="-5"/>
        </w:rPr>
        <w:t> </w:t>
      </w:r>
      <w:r>
        <w:rPr/>
        <w:t>modifications</w:t>
      </w:r>
      <w:r>
        <w:rPr>
          <w:spacing w:val="-5"/>
        </w:rPr>
        <w:t> </w:t>
      </w:r>
      <w:r>
        <w:rPr/>
        <w:t>are</w:t>
      </w:r>
      <w:r>
        <w:rPr>
          <w:spacing w:val="-5"/>
        </w:rPr>
        <w:t> </w:t>
      </w:r>
      <w:r>
        <w:rPr/>
        <w:t>applied.</w:t>
      </w:r>
      <w:r>
        <w:rPr>
          <w:spacing w:val="80"/>
        </w:rPr>
        <w:t> </w:t>
      </w:r>
      <w:r>
        <w:rPr/>
        <w:t>These</w:t>
      </w:r>
      <w:r>
        <w:rPr>
          <w:spacing w:val="-5"/>
        </w:rPr>
        <w:t> </w:t>
      </w:r>
      <w:r>
        <w:rPr/>
        <w:t>reads</w:t>
      </w:r>
      <w:r>
        <w:rPr>
          <w:spacing w:val="-5"/>
        </w:rPr>
        <w:t> </w:t>
      </w:r>
      <w:r>
        <w:rPr/>
        <w:t>are done as an atomic part of the update operation.</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z w:val="20"/>
        </w:rPr>
        <w:t>Background</w:t>
      </w:r>
      <w:r>
        <w:rPr>
          <w:spacing w:val="-6"/>
          <w:sz w:val="20"/>
        </w:rPr>
        <w:t> </w:t>
      </w:r>
      <w:r>
        <w:rPr>
          <w:sz w:val="20"/>
        </w:rPr>
        <w:t>and</w:t>
      </w:r>
      <w:r>
        <w:rPr>
          <w:spacing w:val="-5"/>
          <w:sz w:val="20"/>
        </w:rPr>
        <w:t> </w:t>
      </w:r>
      <w:r>
        <w:rPr>
          <w:sz w:val="20"/>
        </w:rPr>
        <w:t>Intent</w:t>
      </w:r>
      <w:r>
        <w:rPr>
          <w:spacing w:val="-5"/>
          <w:sz w:val="20"/>
        </w:rPr>
        <w:t> </w:t>
      </w:r>
      <w:r>
        <w:rPr>
          <w:sz w:val="20"/>
        </w:rPr>
        <w:t>of</w:t>
      </w:r>
      <w:r>
        <w:rPr>
          <w:spacing w:val="-5"/>
          <w:sz w:val="20"/>
        </w:rPr>
        <w:t> Use</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Terminology</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Read</w:t>
      </w:r>
      <w:r>
        <w:rPr>
          <w:spacing w:val="-7"/>
          <w:sz w:val="20"/>
        </w:rPr>
        <w:t> </w:t>
      </w:r>
      <w:r>
        <w:rPr>
          <w:sz w:val="20"/>
        </w:rPr>
        <w:t>Entry</w:t>
      </w:r>
      <w:r>
        <w:rPr>
          <w:spacing w:val="-4"/>
          <w:sz w:val="20"/>
        </w:rPr>
        <w:t> </w:t>
      </w:r>
      <w:r>
        <w:rPr>
          <w:spacing w:val="-2"/>
          <w:sz w:val="20"/>
        </w:rPr>
        <w:t>Controls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The</w:t>
      </w:r>
      <w:r>
        <w:rPr>
          <w:spacing w:val="-8"/>
          <w:sz w:val="20"/>
        </w:rPr>
        <w:t> </w:t>
      </w:r>
      <w:r>
        <w:rPr>
          <w:sz w:val="20"/>
        </w:rPr>
        <w:t>Pre-Read</w:t>
      </w:r>
      <w:r>
        <w:rPr>
          <w:spacing w:val="-5"/>
          <w:sz w:val="20"/>
        </w:rPr>
        <w:t> </w:t>
      </w:r>
      <w:r>
        <w:rPr>
          <w:spacing w:val="-2"/>
          <w:sz w:val="20"/>
        </w:rPr>
        <w:t>Controls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The</w:t>
      </w:r>
      <w:r>
        <w:rPr>
          <w:spacing w:val="-6"/>
          <w:sz w:val="20"/>
        </w:rPr>
        <w:t> </w:t>
      </w:r>
      <w:r>
        <w:rPr>
          <w:sz w:val="20"/>
        </w:rPr>
        <w:t>Post-Read</w:t>
      </w:r>
      <w:r>
        <w:rPr>
          <w:spacing w:val="-6"/>
          <w:sz w:val="20"/>
        </w:rPr>
        <w:t> </w:t>
      </w:r>
      <w:r>
        <w:rPr>
          <w:spacing w:val="-2"/>
          <w:sz w:val="20"/>
        </w:rPr>
        <w:t>Controls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Interaction</w:t>
      </w:r>
      <w:r>
        <w:rPr>
          <w:spacing w:val="-7"/>
          <w:sz w:val="20"/>
        </w:rPr>
        <w:t> </w:t>
      </w:r>
      <w:r>
        <w:rPr>
          <w:sz w:val="20"/>
        </w:rPr>
        <w:t>with</w:t>
      </w:r>
      <w:r>
        <w:rPr>
          <w:spacing w:val="-7"/>
          <w:sz w:val="20"/>
        </w:rPr>
        <w:t> </w:t>
      </w:r>
      <w:r>
        <w:rPr>
          <w:sz w:val="20"/>
        </w:rPr>
        <w:t>Other</w:t>
      </w:r>
      <w:r>
        <w:rPr>
          <w:spacing w:val="-6"/>
          <w:sz w:val="20"/>
        </w:rPr>
        <w:t> </w:t>
      </w:r>
      <w:r>
        <w:rPr>
          <w:spacing w:val="-2"/>
          <w:sz w:val="20"/>
        </w:rPr>
        <w:t>Controls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6"/>
          <w:sz w:val="20"/>
        </w:rPr>
        <w:t> </w:t>
      </w:r>
      <w:r>
        <w:rPr>
          <w:spacing w:val="-2"/>
          <w:sz w:val="20"/>
        </w:rPr>
        <w:t>Identifier</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6"/>
          <w:sz w:val="20"/>
        </w:rPr>
        <w:t> </w:t>
      </w:r>
      <w:r>
        <w:rPr>
          <w:sz w:val="20"/>
        </w:rPr>
        <w:t>Protocol</w:t>
      </w:r>
      <w:r>
        <w:rPr>
          <w:spacing w:val="-6"/>
          <w:sz w:val="20"/>
        </w:rPr>
        <w:t> </w:t>
      </w:r>
      <w:r>
        <w:rPr>
          <w:spacing w:val="-2"/>
          <w:sz w:val="20"/>
        </w:rPr>
        <w:t>Mechanisms</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6</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7</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0"/>
          <w:numId w:val="2"/>
        </w:numPr>
        <w:tabs>
          <w:tab w:pos="638" w:val="left" w:leader="none"/>
        </w:tabs>
        <w:spacing w:line="240" w:lineRule="auto" w:before="90" w:after="0"/>
        <w:ind w:left="638" w:right="0" w:hanging="478"/>
        <w:jc w:val="left"/>
        <w:rPr>
          <w:sz w:val="20"/>
        </w:rPr>
      </w:pPr>
      <w:r>
        <w:rPr>
          <w:sz w:val="20"/>
        </w:rPr>
        <w:t>Background</w:t>
      </w:r>
      <w:r>
        <w:rPr>
          <w:spacing w:val="-6"/>
          <w:sz w:val="20"/>
        </w:rPr>
        <w:t> </w:t>
      </w:r>
      <w:r>
        <w:rPr>
          <w:sz w:val="20"/>
        </w:rPr>
        <w:t>and</w:t>
      </w:r>
      <w:r>
        <w:rPr>
          <w:spacing w:val="-5"/>
          <w:sz w:val="20"/>
        </w:rPr>
        <w:t> </w:t>
      </w:r>
      <w:r>
        <w:rPr>
          <w:sz w:val="20"/>
        </w:rPr>
        <w:t>Intent</w:t>
      </w:r>
      <w:r>
        <w:rPr>
          <w:spacing w:val="-5"/>
          <w:sz w:val="20"/>
        </w:rPr>
        <w:t> </w:t>
      </w:r>
      <w:r>
        <w:rPr>
          <w:sz w:val="20"/>
        </w:rPr>
        <w:t>of</w:t>
      </w:r>
      <w:r>
        <w:rPr>
          <w:spacing w:val="-5"/>
          <w:sz w:val="20"/>
        </w:rPr>
        <w:t> Use</w:t>
      </w:r>
    </w:p>
    <w:p>
      <w:pPr>
        <w:pStyle w:val="BodyText"/>
        <w:spacing w:line="232" w:lineRule="auto" w:before="218"/>
        <w:ind w:right="439"/>
      </w:pPr>
      <w:r>
        <w:rPr/>
        <w:t>This document specifies an extension to the Lightweight Directory Access Protocol (LDAP) [RFC4510] to allow the client to read the target entry of an update operation (e.g., Add, Delete, Modify, ModifyDN).</w:t>
      </w:r>
      <w:r>
        <w:rPr>
          <w:spacing w:val="80"/>
        </w:rPr>
        <w:t> </w:t>
      </w:r>
      <w:r>
        <w:rPr/>
        <w:t>The extension utilizes controls [RFC4511] attached to update requests to request and return copies of the target entry. One</w:t>
      </w:r>
      <w:r>
        <w:rPr>
          <w:spacing w:val="-6"/>
        </w:rPr>
        <w:t> </w:t>
      </w:r>
      <w:r>
        <w:rPr/>
        <w:t>request</w:t>
      </w:r>
      <w:r>
        <w:rPr>
          <w:spacing w:val="-6"/>
        </w:rPr>
        <w:t> </w:t>
      </w:r>
      <w:r>
        <w:rPr/>
        <w:t>control,</w:t>
      </w:r>
      <w:r>
        <w:rPr>
          <w:spacing w:val="-6"/>
        </w:rPr>
        <w:t> </w:t>
      </w:r>
      <w:r>
        <w:rPr/>
        <w:t>called</w:t>
      </w:r>
      <w:r>
        <w:rPr>
          <w:spacing w:val="-6"/>
        </w:rPr>
        <w:t> </w:t>
      </w:r>
      <w:r>
        <w:rPr/>
        <w:t>the</w:t>
      </w:r>
      <w:r>
        <w:rPr>
          <w:spacing w:val="-6"/>
        </w:rPr>
        <w:t> </w:t>
      </w:r>
      <w:r>
        <w:rPr/>
        <w:t>Pre-Read</w:t>
      </w:r>
      <w:r>
        <w:rPr>
          <w:spacing w:val="-6"/>
        </w:rPr>
        <w:t> </w:t>
      </w:r>
      <w:r>
        <w:rPr/>
        <w:t>request</w:t>
      </w:r>
      <w:r>
        <w:rPr>
          <w:spacing w:val="-6"/>
        </w:rPr>
        <w:t> </w:t>
      </w:r>
      <w:r>
        <w:rPr/>
        <w:t>control,</w:t>
      </w:r>
      <w:r>
        <w:rPr>
          <w:spacing w:val="-6"/>
        </w:rPr>
        <w:t> </w:t>
      </w:r>
      <w:r>
        <w:rPr/>
        <w:t>indicates that a copy of the entry before application of update is to be returned.</w:t>
      </w:r>
      <w:r>
        <w:rPr>
          <w:spacing w:val="80"/>
        </w:rPr>
        <w:t> </w:t>
      </w:r>
      <w:r>
        <w:rPr/>
        <w:t>Another control, called the Post-Read request control,</w:t>
      </w:r>
    </w:p>
    <w:p>
      <w:pPr>
        <w:pStyle w:val="BodyText"/>
        <w:spacing w:line="232" w:lineRule="auto" w:before="2"/>
        <w:ind w:right="199"/>
      </w:pPr>
      <w:r>
        <w:rPr/>
        <w:t>indicates</w:t>
      </w:r>
      <w:r>
        <w:rPr>
          <w:spacing w:val="-4"/>
        </w:rPr>
        <w:t> </w:t>
      </w:r>
      <w:r>
        <w:rPr/>
        <w:t>that</w:t>
      </w:r>
      <w:r>
        <w:rPr>
          <w:spacing w:val="-4"/>
        </w:rPr>
        <w:t> </w:t>
      </w:r>
      <w:r>
        <w:rPr/>
        <w:t>a</w:t>
      </w:r>
      <w:r>
        <w:rPr>
          <w:spacing w:val="-4"/>
        </w:rPr>
        <w:t> </w:t>
      </w:r>
      <w:r>
        <w:rPr/>
        <w:t>copy</w:t>
      </w:r>
      <w:r>
        <w:rPr>
          <w:spacing w:val="-4"/>
        </w:rPr>
        <w:t> </w:t>
      </w:r>
      <w:r>
        <w:rPr/>
        <w:t>of</w:t>
      </w:r>
      <w:r>
        <w:rPr>
          <w:spacing w:val="-4"/>
        </w:rPr>
        <w:t> </w:t>
      </w:r>
      <w:r>
        <w:rPr/>
        <w:t>the</w:t>
      </w:r>
      <w:r>
        <w:rPr>
          <w:spacing w:val="-4"/>
        </w:rPr>
        <w:t> </w:t>
      </w:r>
      <w:r>
        <w:rPr/>
        <w:t>entry</w:t>
      </w:r>
      <w:r>
        <w:rPr>
          <w:spacing w:val="-4"/>
        </w:rPr>
        <w:t> </w:t>
      </w:r>
      <w:r>
        <w:rPr/>
        <w:t>after</w:t>
      </w:r>
      <w:r>
        <w:rPr>
          <w:spacing w:val="-4"/>
        </w:rPr>
        <w:t> </w:t>
      </w:r>
      <w:r>
        <w:rPr/>
        <w:t>application</w:t>
      </w:r>
      <w:r>
        <w:rPr>
          <w:spacing w:val="-4"/>
        </w:rPr>
        <w:t> </w:t>
      </w:r>
      <w:r>
        <w:rPr/>
        <w:t>of</w:t>
      </w:r>
      <w:r>
        <w:rPr>
          <w:spacing w:val="-4"/>
        </w:rPr>
        <w:t> </w:t>
      </w:r>
      <w:r>
        <w:rPr/>
        <w:t>the</w:t>
      </w:r>
      <w:r>
        <w:rPr>
          <w:spacing w:val="-4"/>
        </w:rPr>
        <w:t> </w:t>
      </w:r>
      <w:r>
        <w:rPr/>
        <w:t>update</w:t>
      </w:r>
      <w:r>
        <w:rPr>
          <w:spacing w:val="-4"/>
        </w:rPr>
        <w:t> </w:t>
      </w:r>
      <w:r>
        <w:rPr/>
        <w:t>is to be returned.</w:t>
      </w:r>
      <w:r>
        <w:rPr>
          <w:spacing w:val="80"/>
        </w:rPr>
        <w:t> </w:t>
      </w:r>
      <w:r>
        <w:rPr/>
        <w:t>Each request control has a corresponding response control used to return the entry.</w:t>
      </w:r>
    </w:p>
    <w:p>
      <w:pPr>
        <w:pStyle w:val="BodyText"/>
        <w:spacing w:line="232" w:lineRule="auto"/>
        <w:ind w:right="439"/>
      </w:pPr>
      <w:r>
        <w:rPr/>
        <w:t>To</w:t>
      </w:r>
      <w:r>
        <w:rPr>
          <w:spacing w:val="-5"/>
        </w:rPr>
        <w:t> </w:t>
      </w:r>
      <w:r>
        <w:rPr/>
        <w:t>ensure</w:t>
      </w:r>
      <w:r>
        <w:rPr>
          <w:spacing w:val="-5"/>
        </w:rPr>
        <w:t> </w:t>
      </w:r>
      <w:r>
        <w:rPr/>
        <w:t>proper</w:t>
      </w:r>
      <w:r>
        <w:rPr>
          <w:spacing w:val="-5"/>
        </w:rPr>
        <w:t> </w:t>
      </w:r>
      <w:r>
        <w:rPr/>
        <w:t>isolation,</w:t>
      </w:r>
      <w:r>
        <w:rPr>
          <w:spacing w:val="-5"/>
        </w:rPr>
        <w:t> </w:t>
      </w:r>
      <w:r>
        <w:rPr/>
        <w:t>the</w:t>
      </w:r>
      <w:r>
        <w:rPr>
          <w:spacing w:val="-5"/>
        </w:rPr>
        <w:t> </w:t>
      </w:r>
      <w:r>
        <w:rPr/>
        <w:t>controls</w:t>
      </w:r>
      <w:r>
        <w:rPr>
          <w:spacing w:val="-5"/>
        </w:rPr>
        <w:t> </w:t>
      </w:r>
      <w:r>
        <w:rPr/>
        <w:t>are</w:t>
      </w:r>
      <w:r>
        <w:rPr>
          <w:spacing w:val="-5"/>
        </w:rPr>
        <w:t> </w:t>
      </w:r>
      <w:r>
        <w:rPr/>
        <w:t>processed</w:t>
      </w:r>
      <w:r>
        <w:rPr>
          <w:spacing w:val="-5"/>
        </w:rPr>
        <w:t> </w:t>
      </w:r>
      <w:r>
        <w:rPr/>
        <w:t>as</w:t>
      </w:r>
      <w:r>
        <w:rPr>
          <w:spacing w:val="-5"/>
        </w:rPr>
        <w:t> </w:t>
      </w:r>
      <w:r>
        <w:rPr/>
        <w:t>an</w:t>
      </w:r>
      <w:r>
        <w:rPr>
          <w:spacing w:val="-5"/>
        </w:rPr>
        <w:t> </w:t>
      </w:r>
      <w:r>
        <w:rPr/>
        <w:t>atomic part of the update operation.</w:t>
      </w:r>
    </w:p>
    <w:p>
      <w:pPr>
        <w:pStyle w:val="BodyText"/>
        <w:spacing w:line="232" w:lineRule="auto" w:before="220"/>
      </w:pPr>
      <w:r>
        <w:rPr/>
        <w:t>The functionality offered by these controls is based upon similar functionality</w:t>
      </w:r>
      <w:r>
        <w:rPr>
          <w:spacing w:val="-6"/>
        </w:rPr>
        <w:t> </w:t>
      </w:r>
      <w:r>
        <w:rPr/>
        <w:t>in</w:t>
      </w:r>
      <w:r>
        <w:rPr>
          <w:spacing w:val="-6"/>
        </w:rPr>
        <w:t> </w:t>
      </w:r>
      <w:r>
        <w:rPr/>
        <w:t>the</w:t>
      </w:r>
      <w:r>
        <w:rPr>
          <w:spacing w:val="-6"/>
        </w:rPr>
        <w:t> </w:t>
      </w:r>
      <w:r>
        <w:rPr/>
        <w:t>X.500</w:t>
      </w:r>
      <w:r>
        <w:rPr>
          <w:spacing w:val="-6"/>
        </w:rPr>
        <w:t> </w:t>
      </w:r>
      <w:r>
        <w:rPr/>
        <w:t>Directory</w:t>
      </w:r>
      <w:r>
        <w:rPr>
          <w:spacing w:val="-6"/>
        </w:rPr>
        <w:t> </w:t>
      </w:r>
      <w:r>
        <w:rPr/>
        <w:t>Access</w:t>
      </w:r>
      <w:r>
        <w:rPr>
          <w:spacing w:val="-6"/>
        </w:rPr>
        <w:t> </w:t>
      </w:r>
      <w:r>
        <w:rPr/>
        <w:t>Protocol</w:t>
      </w:r>
      <w:r>
        <w:rPr>
          <w:spacing w:val="-6"/>
        </w:rPr>
        <w:t> </w:t>
      </w:r>
      <w:r>
        <w:rPr/>
        <w:t>(DAP)</w:t>
      </w:r>
      <w:r>
        <w:rPr>
          <w:spacing w:val="-6"/>
        </w:rPr>
        <w:t> </w:t>
      </w:r>
      <w:r>
        <w:rPr/>
        <w:t>[X.511].</w:t>
      </w:r>
    </w:p>
    <w:p>
      <w:pPr>
        <w:pStyle w:val="BodyText"/>
        <w:spacing w:line="232" w:lineRule="auto"/>
        <w:ind w:right="439"/>
      </w:pPr>
      <w:r>
        <w:rPr/>
        <w:t>The Pre-Read controls may be used to obtain replaced or deleted values</w:t>
      </w:r>
      <w:r>
        <w:rPr>
          <w:spacing w:val="-4"/>
        </w:rPr>
        <w:t> </w:t>
      </w:r>
      <w:r>
        <w:rPr/>
        <w:t>of</w:t>
      </w:r>
      <w:r>
        <w:rPr>
          <w:spacing w:val="-4"/>
        </w:rPr>
        <w:t> </w:t>
      </w:r>
      <w:r>
        <w:rPr/>
        <w:t>modified</w:t>
      </w:r>
      <w:r>
        <w:rPr>
          <w:spacing w:val="-4"/>
        </w:rPr>
        <w:t> </w:t>
      </w:r>
      <w:r>
        <w:rPr/>
        <w:t>attributes</w:t>
      </w:r>
      <w:r>
        <w:rPr>
          <w:spacing w:val="-4"/>
        </w:rPr>
        <w:t> </w:t>
      </w:r>
      <w:r>
        <w:rPr/>
        <w:t>or</w:t>
      </w:r>
      <w:r>
        <w:rPr>
          <w:spacing w:val="-4"/>
        </w:rPr>
        <w:t> </w:t>
      </w:r>
      <w:r>
        <w:rPr/>
        <w:t>a</w:t>
      </w:r>
      <w:r>
        <w:rPr>
          <w:spacing w:val="-4"/>
        </w:rPr>
        <w:t> </w:t>
      </w:r>
      <w:r>
        <w:rPr/>
        <w:t>copy</w:t>
      </w:r>
      <w:r>
        <w:rPr>
          <w:spacing w:val="-4"/>
        </w:rPr>
        <w:t> </w:t>
      </w:r>
      <w:r>
        <w:rPr/>
        <w:t>of</w:t>
      </w:r>
      <w:r>
        <w:rPr>
          <w:spacing w:val="-4"/>
        </w:rPr>
        <w:t> </w:t>
      </w:r>
      <w:r>
        <w:rPr/>
        <w:t>the</w:t>
      </w:r>
      <w:r>
        <w:rPr>
          <w:spacing w:val="-4"/>
        </w:rPr>
        <w:t> </w:t>
      </w:r>
      <w:r>
        <w:rPr/>
        <w:t>entry</w:t>
      </w:r>
      <w:r>
        <w:rPr>
          <w:spacing w:val="-4"/>
        </w:rPr>
        <w:t> </w:t>
      </w:r>
      <w:r>
        <w:rPr/>
        <w:t>being</w:t>
      </w:r>
      <w:r>
        <w:rPr>
          <w:spacing w:val="-4"/>
        </w:rPr>
        <w:t> </w:t>
      </w:r>
      <w:r>
        <w:rPr/>
        <w:t>deleted.</w:t>
      </w:r>
    </w:p>
    <w:p>
      <w:pPr>
        <w:pStyle w:val="BodyText"/>
        <w:spacing w:line="232" w:lineRule="auto" w:before="220"/>
      </w:pPr>
      <w:r>
        <w:rPr/>
        <w:t>The Post-Read controls may be used to obtain values of operational attributes,</w:t>
      </w:r>
      <w:r>
        <w:rPr>
          <w:spacing w:val="-6"/>
        </w:rPr>
        <w:t> </w:t>
      </w:r>
      <w:r>
        <w:rPr/>
        <w:t>such</w:t>
      </w:r>
      <w:r>
        <w:rPr>
          <w:spacing w:val="-6"/>
        </w:rPr>
        <w:t> </w:t>
      </w:r>
      <w:r>
        <w:rPr/>
        <w:t>as</w:t>
      </w:r>
      <w:r>
        <w:rPr>
          <w:spacing w:val="-6"/>
        </w:rPr>
        <w:t> </w:t>
      </w:r>
      <w:r>
        <w:rPr/>
        <w:t>the</w:t>
      </w:r>
      <w:r>
        <w:rPr>
          <w:spacing w:val="-6"/>
        </w:rPr>
        <w:t> </w:t>
      </w:r>
      <w:r>
        <w:rPr/>
        <w:t>’entryUUID’</w:t>
      </w:r>
      <w:r>
        <w:rPr>
          <w:spacing w:val="-6"/>
        </w:rPr>
        <w:t> </w:t>
      </w:r>
      <w:r>
        <w:rPr/>
        <w:t>[RFC4530]</w:t>
      </w:r>
      <w:r>
        <w:rPr>
          <w:spacing w:val="-6"/>
        </w:rPr>
        <w:t> </w:t>
      </w:r>
      <w:r>
        <w:rPr/>
        <w:t>and</w:t>
      </w:r>
      <w:r>
        <w:rPr>
          <w:spacing w:val="-6"/>
        </w:rPr>
        <w:t> </w:t>
      </w:r>
      <w:r>
        <w:rPr/>
        <w:t>’modifyTimestamp’ [RFC4512] attributes, updated by the server as part of the update </w:t>
      </w:r>
      <w:r>
        <w:rPr>
          <w:spacing w:val="-2"/>
        </w:rPr>
        <w:t>operation.</w:t>
      </w:r>
    </w:p>
    <w:p>
      <w:pPr>
        <w:pStyle w:val="ListParagraph"/>
        <w:numPr>
          <w:ilvl w:val="0"/>
          <w:numId w:val="2"/>
        </w:numPr>
        <w:tabs>
          <w:tab w:pos="518" w:val="left" w:leader="none"/>
        </w:tabs>
        <w:spacing w:line="240" w:lineRule="auto" w:before="216" w:after="0"/>
        <w:ind w:left="518" w:right="0" w:hanging="358"/>
        <w:jc w:val="left"/>
        <w:rPr>
          <w:sz w:val="20"/>
        </w:rPr>
      </w:pPr>
      <w:r>
        <w:rPr>
          <w:spacing w:val="-2"/>
          <w:sz w:val="20"/>
        </w:rPr>
        <w:t>Terminology</w:t>
      </w:r>
    </w:p>
    <w:p>
      <w:pPr>
        <w:pStyle w:val="BodyText"/>
        <w:spacing w:line="232" w:lineRule="auto" w:before="218"/>
        <w:ind w:right="439"/>
      </w:pPr>
      <w:r>
        <w:rPr/>
        <w:t>Protocol</w:t>
      </w:r>
      <w:r>
        <w:rPr>
          <w:spacing w:val="-6"/>
        </w:rPr>
        <w:t> </w:t>
      </w:r>
      <w:r>
        <w:rPr/>
        <w:t>elements</w:t>
      </w:r>
      <w:r>
        <w:rPr>
          <w:spacing w:val="-6"/>
        </w:rPr>
        <w:t> </w:t>
      </w:r>
      <w:r>
        <w:rPr/>
        <w:t>are</w:t>
      </w:r>
      <w:r>
        <w:rPr>
          <w:spacing w:val="-6"/>
        </w:rPr>
        <w:t> </w:t>
      </w:r>
      <w:r>
        <w:rPr/>
        <w:t>described</w:t>
      </w:r>
      <w:r>
        <w:rPr>
          <w:spacing w:val="-6"/>
        </w:rPr>
        <w:t> </w:t>
      </w:r>
      <w:r>
        <w:rPr/>
        <w:t>using</w:t>
      </w:r>
      <w:r>
        <w:rPr>
          <w:spacing w:val="-6"/>
        </w:rPr>
        <w:t> </w:t>
      </w:r>
      <w:r>
        <w:rPr/>
        <w:t>ASN.1</w:t>
      </w:r>
      <w:r>
        <w:rPr>
          <w:spacing w:val="-6"/>
        </w:rPr>
        <w:t> </w:t>
      </w:r>
      <w:r>
        <w:rPr/>
        <w:t>[X.680]</w:t>
      </w:r>
      <w:r>
        <w:rPr>
          <w:spacing w:val="-6"/>
        </w:rPr>
        <w:t> </w:t>
      </w:r>
      <w:r>
        <w:rPr/>
        <w:t>with</w:t>
      </w:r>
      <w:r>
        <w:rPr>
          <w:spacing w:val="-6"/>
        </w:rPr>
        <w:t> </w:t>
      </w:r>
      <w:r>
        <w:rPr/>
        <w:t>implicit tags.</w:t>
      </w:r>
      <w:r>
        <w:rPr>
          <w:spacing w:val="80"/>
        </w:rPr>
        <w:t> </w:t>
      </w:r>
      <w:r>
        <w:rPr/>
        <w:t>The term "BER-encoded" means the element is to be encoded using the Basic Encoding Rules [X.690] under the restrictions detailed in Section 5.1 of [RFC4511].</w:t>
      </w:r>
    </w:p>
    <w:p>
      <w:pPr>
        <w:pStyle w:val="BodyText"/>
        <w:spacing w:line="223" w:lineRule="exact" w:before="216"/>
      </w:pPr>
      <w:r>
        <w:rPr/>
        <w:t>DN</w:t>
      </w:r>
      <w:r>
        <w:rPr>
          <w:spacing w:val="-6"/>
        </w:rPr>
        <w:t> </w:t>
      </w:r>
      <w:r>
        <w:rPr/>
        <w:t>stands</w:t>
      </w:r>
      <w:r>
        <w:rPr>
          <w:spacing w:val="-6"/>
        </w:rPr>
        <w:t> </w:t>
      </w:r>
      <w:r>
        <w:rPr/>
        <w:t>for</w:t>
      </w:r>
      <w:r>
        <w:rPr>
          <w:spacing w:val="-6"/>
        </w:rPr>
        <w:t> </w:t>
      </w:r>
      <w:r>
        <w:rPr/>
        <w:t>Distinguished</w:t>
      </w:r>
      <w:r>
        <w:rPr>
          <w:spacing w:val="-6"/>
        </w:rPr>
        <w:t> </w:t>
      </w:r>
      <w:r>
        <w:rPr>
          <w:spacing w:val="-2"/>
        </w:rPr>
        <w:t>Name.</w:t>
      </w:r>
    </w:p>
    <w:p>
      <w:pPr>
        <w:pStyle w:val="BodyText"/>
        <w:spacing w:line="232" w:lineRule="auto" w:before="2"/>
        <w:ind w:right="439"/>
      </w:pPr>
      <w:r>
        <w:rPr/>
        <w:t>DSA</w:t>
      </w:r>
      <w:r>
        <w:rPr>
          <w:spacing w:val="-5"/>
        </w:rPr>
        <w:t> </w:t>
      </w:r>
      <w:r>
        <w:rPr/>
        <w:t>stands</w:t>
      </w:r>
      <w:r>
        <w:rPr>
          <w:spacing w:val="-5"/>
        </w:rPr>
        <w:t> </w:t>
      </w:r>
      <w:r>
        <w:rPr/>
        <w:t>for</w:t>
      </w:r>
      <w:r>
        <w:rPr>
          <w:spacing w:val="-5"/>
        </w:rPr>
        <w:t> </w:t>
      </w:r>
      <w:r>
        <w:rPr/>
        <w:t>Directory</w:t>
      </w:r>
      <w:r>
        <w:rPr>
          <w:spacing w:val="-5"/>
        </w:rPr>
        <w:t> </w:t>
      </w:r>
      <w:r>
        <w:rPr/>
        <w:t>System</w:t>
      </w:r>
      <w:r>
        <w:rPr>
          <w:spacing w:val="-5"/>
        </w:rPr>
        <w:t> </w:t>
      </w:r>
      <w:r>
        <w:rPr/>
        <w:t>Agent</w:t>
      </w:r>
      <w:r>
        <w:rPr>
          <w:spacing w:val="-5"/>
        </w:rPr>
        <w:t> </w:t>
      </w:r>
      <w:r>
        <w:rPr/>
        <w:t>(i.e.,</w:t>
      </w:r>
      <w:r>
        <w:rPr>
          <w:spacing w:val="-5"/>
        </w:rPr>
        <w:t> </w:t>
      </w:r>
      <w:r>
        <w:rPr/>
        <w:t>a</w:t>
      </w:r>
      <w:r>
        <w:rPr>
          <w:spacing w:val="-5"/>
        </w:rPr>
        <w:t> </w:t>
      </w:r>
      <w:r>
        <w:rPr/>
        <w:t>directory</w:t>
      </w:r>
      <w:r>
        <w:rPr>
          <w:spacing w:val="-5"/>
        </w:rPr>
        <w:t> </w:t>
      </w:r>
      <w:r>
        <w:rPr/>
        <w:t>server). DSE stands for DSA-specific Entry.</w:t>
      </w:r>
    </w:p>
    <w:p>
      <w:pPr>
        <w:pStyle w:val="BodyText"/>
        <w:spacing w:line="232" w:lineRule="auto"/>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before="0"/>
        <w:ind w:right="439"/>
      </w:pPr>
      <w:r>
        <w:rPr/>
        <w:t>and</w:t>
      </w:r>
      <w:r>
        <w:rPr>
          <w:spacing w:val="-5"/>
        </w:rPr>
        <w:t> </w:t>
      </w:r>
      <w:r>
        <w:rPr/>
        <w:t>"OPTIONAL"</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BCP</w:t>
      </w:r>
      <w:r>
        <w:rPr>
          <w:spacing w:val="-5"/>
        </w:rPr>
        <w:t> </w:t>
      </w:r>
      <w:r>
        <w:rPr/>
        <w:t>14 </w:t>
      </w:r>
      <w:r>
        <w:rPr>
          <w:spacing w:val="-2"/>
        </w:rPr>
        <w:t>[RFC2119].</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2"/>
        </w:numPr>
        <w:tabs>
          <w:tab w:pos="638" w:val="left" w:leader="none"/>
        </w:tabs>
        <w:spacing w:line="240" w:lineRule="auto" w:before="90" w:after="0"/>
        <w:ind w:left="638" w:right="0" w:hanging="478"/>
        <w:jc w:val="left"/>
        <w:rPr>
          <w:sz w:val="20"/>
        </w:rPr>
      </w:pPr>
      <w:r>
        <w:rPr>
          <w:sz w:val="20"/>
        </w:rPr>
        <w:t>Read</w:t>
      </w:r>
      <w:r>
        <w:rPr>
          <w:spacing w:val="-7"/>
          <w:sz w:val="20"/>
        </w:rPr>
        <w:t> </w:t>
      </w:r>
      <w:r>
        <w:rPr>
          <w:sz w:val="20"/>
        </w:rPr>
        <w:t>Entry</w:t>
      </w:r>
      <w:r>
        <w:rPr>
          <w:spacing w:val="-4"/>
          <w:sz w:val="20"/>
        </w:rPr>
        <w:t> </w:t>
      </w:r>
      <w:r>
        <w:rPr>
          <w:spacing w:val="-2"/>
          <w:sz w:val="20"/>
        </w:rPr>
        <w:t>Controls</w:t>
      </w:r>
    </w:p>
    <w:p>
      <w:pPr>
        <w:pStyle w:val="ListParagraph"/>
        <w:numPr>
          <w:ilvl w:val="1"/>
          <w:numId w:val="2"/>
        </w:numPr>
        <w:tabs>
          <w:tab w:pos="876" w:val="left" w:leader="none"/>
        </w:tabs>
        <w:spacing w:line="240" w:lineRule="auto" w:before="213" w:after="0"/>
        <w:ind w:left="876" w:right="0" w:hanging="716"/>
        <w:jc w:val="left"/>
        <w:rPr>
          <w:sz w:val="20"/>
        </w:rPr>
      </w:pPr>
      <w:r>
        <w:rPr>
          <w:sz w:val="20"/>
        </w:rPr>
        <w:t>The</w:t>
      </w:r>
      <w:r>
        <w:rPr>
          <w:spacing w:val="-8"/>
          <w:sz w:val="20"/>
        </w:rPr>
        <w:t> </w:t>
      </w:r>
      <w:r>
        <w:rPr>
          <w:sz w:val="20"/>
        </w:rPr>
        <w:t>Pre-Read</w:t>
      </w:r>
      <w:r>
        <w:rPr>
          <w:spacing w:val="-5"/>
          <w:sz w:val="20"/>
        </w:rPr>
        <w:t> </w:t>
      </w:r>
      <w:r>
        <w:rPr>
          <w:spacing w:val="-2"/>
          <w:sz w:val="20"/>
        </w:rPr>
        <w:t>Controls</w:t>
      </w:r>
    </w:p>
    <w:p>
      <w:pPr>
        <w:pStyle w:val="BodyText"/>
        <w:spacing w:line="232" w:lineRule="auto" w:before="219"/>
        <w:ind w:right="439"/>
      </w:pPr>
      <w:r>
        <w:rPr/>
        <w:t>The</w:t>
      </w:r>
      <w:r>
        <w:rPr>
          <w:spacing w:val="-5"/>
        </w:rPr>
        <w:t> </w:t>
      </w:r>
      <w:r>
        <w:rPr/>
        <w:t>Pre-Read</w:t>
      </w:r>
      <w:r>
        <w:rPr>
          <w:spacing w:val="-5"/>
        </w:rPr>
        <w:t> </w:t>
      </w:r>
      <w:r>
        <w:rPr/>
        <w:t>request</w:t>
      </w:r>
      <w:r>
        <w:rPr>
          <w:spacing w:val="-5"/>
        </w:rPr>
        <w:t> </w:t>
      </w:r>
      <w:r>
        <w:rPr/>
        <w:t>and</w:t>
      </w:r>
      <w:r>
        <w:rPr>
          <w:spacing w:val="-5"/>
        </w:rPr>
        <w:t> </w:t>
      </w:r>
      <w:r>
        <w:rPr/>
        <w:t>response</w:t>
      </w:r>
      <w:r>
        <w:rPr>
          <w:spacing w:val="-5"/>
        </w:rPr>
        <w:t> </w:t>
      </w:r>
      <w:r>
        <w:rPr/>
        <w:t>controls</w:t>
      </w:r>
      <w:r>
        <w:rPr>
          <w:spacing w:val="-5"/>
        </w:rPr>
        <w:t> </w:t>
      </w:r>
      <w:r>
        <w:rPr/>
        <w:t>are</w:t>
      </w:r>
      <w:r>
        <w:rPr>
          <w:spacing w:val="-5"/>
        </w:rPr>
        <w:t> </w:t>
      </w:r>
      <w:r>
        <w:rPr/>
        <w:t>identified</w:t>
      </w:r>
      <w:r>
        <w:rPr>
          <w:spacing w:val="-5"/>
        </w:rPr>
        <w:t> </w:t>
      </w:r>
      <w:r>
        <w:rPr/>
        <w:t>by</w:t>
      </w:r>
      <w:r>
        <w:rPr>
          <w:spacing w:val="-5"/>
        </w:rPr>
        <w:t> </w:t>
      </w:r>
      <w:r>
        <w:rPr/>
        <w:t>the 1.3.6.1.1.13.1 object identifier.</w:t>
      </w:r>
      <w:r>
        <w:rPr>
          <w:spacing w:val="80"/>
        </w:rPr>
        <w:t> </w:t>
      </w:r>
      <w:r>
        <w:rPr/>
        <w:t>Servers implementing these controls SHOULD publish 1.3.6.1.1.13.1 as a value of the ’supportedControl’ [RFC4512] in their root DSE.</w:t>
      </w:r>
    </w:p>
    <w:p>
      <w:pPr>
        <w:pStyle w:val="BodyText"/>
        <w:spacing w:line="232" w:lineRule="auto"/>
        <w:ind w:right="199"/>
      </w:pPr>
      <w:r>
        <w:rPr/>
        <w:t>The Pre-Read request control is a LDAP Control [RFC4511] whose controlType</w:t>
      </w:r>
      <w:r>
        <w:rPr>
          <w:spacing w:val="-6"/>
        </w:rPr>
        <w:t> </w:t>
      </w:r>
      <w:r>
        <w:rPr/>
        <w:t>is</w:t>
      </w:r>
      <w:r>
        <w:rPr>
          <w:spacing w:val="-6"/>
        </w:rPr>
        <w:t> </w:t>
      </w:r>
      <w:r>
        <w:rPr/>
        <w:t>1.3.6.1.1.13.1</w:t>
      </w:r>
      <w:r>
        <w:rPr>
          <w:spacing w:val="-6"/>
        </w:rPr>
        <w:t> </w:t>
      </w:r>
      <w:r>
        <w:rPr/>
        <w:t>and</w:t>
      </w:r>
      <w:r>
        <w:rPr>
          <w:spacing w:val="-6"/>
        </w:rPr>
        <w:t> </w:t>
      </w:r>
      <w:r>
        <w:rPr/>
        <w:t>whose</w:t>
      </w:r>
      <w:r>
        <w:rPr>
          <w:spacing w:val="-6"/>
        </w:rPr>
        <w:t> </w:t>
      </w:r>
      <w:r>
        <w:rPr/>
        <w:t>controlValue</w:t>
      </w:r>
      <w:r>
        <w:rPr>
          <w:spacing w:val="-6"/>
        </w:rPr>
        <w:t> </w:t>
      </w:r>
      <w:r>
        <w:rPr/>
        <w:t>is</w:t>
      </w:r>
      <w:r>
        <w:rPr>
          <w:spacing w:val="-6"/>
        </w:rPr>
        <w:t> </w:t>
      </w:r>
      <w:r>
        <w:rPr/>
        <w:t>a</w:t>
      </w:r>
      <w:r>
        <w:rPr>
          <w:spacing w:val="-6"/>
        </w:rPr>
        <w:t> </w:t>
      </w:r>
      <w:r>
        <w:rPr/>
        <w:t>BER-encoded AttributeSelection [RFC4511], as extended by [RFC3673].</w:t>
      </w:r>
      <w:r>
        <w:rPr>
          <w:spacing w:val="80"/>
        </w:rPr>
        <w:t> </w:t>
      </w:r>
      <w:r>
        <w:rPr/>
        <w:t>The criticality may be TRUE or FALSE.</w:t>
      </w:r>
      <w:r>
        <w:rPr>
          <w:spacing w:val="79"/>
          <w:w w:val="150"/>
        </w:rPr>
        <w:t> </w:t>
      </w:r>
      <w:r>
        <w:rPr/>
        <w:t>This control is appropriate for the modifyRequest, delRequest, and modDNRequest LDAP messages.</w:t>
      </w:r>
    </w:p>
    <w:p>
      <w:pPr>
        <w:pStyle w:val="BodyText"/>
        <w:spacing w:line="232" w:lineRule="auto"/>
        <w:ind w:right="439"/>
      </w:pPr>
      <w:r>
        <w:rPr/>
        <w:t>The corresponding response control is a LDAP Control whose controlType is 1.3.6.1.1.13.1 and whose the controlValue, an OCTET STRING, contains a BER-encoded SearchResultEntry.</w:t>
      </w:r>
      <w:r>
        <w:rPr>
          <w:spacing w:val="80"/>
        </w:rPr>
        <w:t> </w:t>
      </w:r>
      <w:r>
        <w:rPr/>
        <w:t>The criticality may be TRUE or FALSE.</w:t>
      </w:r>
      <w:r>
        <w:rPr>
          <w:spacing w:val="80"/>
        </w:rPr>
        <w:t> </w:t>
      </w:r>
      <w:r>
        <w:rPr/>
        <w:t>This control is appropriate for the modifyResponse,</w:t>
      </w:r>
      <w:r>
        <w:rPr>
          <w:spacing w:val="-6"/>
        </w:rPr>
        <w:t> </w:t>
      </w:r>
      <w:r>
        <w:rPr/>
        <w:t>delResponse,</w:t>
      </w:r>
      <w:r>
        <w:rPr>
          <w:spacing w:val="-6"/>
        </w:rPr>
        <w:t> </w:t>
      </w:r>
      <w:r>
        <w:rPr/>
        <w:t>and</w:t>
      </w:r>
      <w:r>
        <w:rPr>
          <w:spacing w:val="-6"/>
        </w:rPr>
        <w:t> </w:t>
      </w:r>
      <w:r>
        <w:rPr/>
        <w:t>modDNResponse</w:t>
      </w:r>
      <w:r>
        <w:rPr>
          <w:spacing w:val="-6"/>
        </w:rPr>
        <w:t> </w:t>
      </w:r>
      <w:r>
        <w:rPr/>
        <w:t>LDAP</w:t>
      </w:r>
      <w:r>
        <w:rPr>
          <w:spacing w:val="-6"/>
        </w:rPr>
        <w:t> </w:t>
      </w:r>
      <w:r>
        <w:rPr/>
        <w:t>messages</w:t>
      </w:r>
      <w:r>
        <w:rPr>
          <w:spacing w:val="-6"/>
        </w:rPr>
        <w:t> </w:t>
      </w:r>
      <w:r>
        <w:rPr/>
        <w:t>with</w:t>
      </w:r>
      <w:r>
        <w:rPr>
          <w:spacing w:val="-6"/>
        </w:rPr>
        <w:t> </w:t>
      </w:r>
      <w:r>
        <w:rPr/>
        <w:t>a resultCode of success (0).</w:t>
      </w:r>
    </w:p>
    <w:p>
      <w:pPr>
        <w:pStyle w:val="BodyText"/>
        <w:spacing w:line="232" w:lineRule="auto"/>
        <w:ind w:right="199"/>
      </w:pPr>
      <w:r>
        <w:rPr/>
        <w:t>When the request control is attached to an appropriate update LDAP request, the control requests the return of a copy of the target entry</w:t>
      </w:r>
      <w:r>
        <w:rPr>
          <w:spacing w:val="-5"/>
        </w:rPr>
        <w:t> </w:t>
      </w:r>
      <w:r>
        <w:rPr/>
        <w:t>prior</w:t>
      </w:r>
      <w:r>
        <w:rPr>
          <w:spacing w:val="-5"/>
        </w:rPr>
        <w:t> </w:t>
      </w:r>
      <w:r>
        <w:rPr/>
        <w:t>to</w:t>
      </w:r>
      <w:r>
        <w:rPr>
          <w:spacing w:val="-5"/>
        </w:rPr>
        <w:t> </w:t>
      </w:r>
      <w:r>
        <w:rPr/>
        <w:t>the</w:t>
      </w:r>
      <w:r>
        <w:rPr>
          <w:spacing w:val="-5"/>
        </w:rPr>
        <w:t> </w:t>
      </w:r>
      <w:r>
        <w:rPr/>
        <w:t>application</w:t>
      </w:r>
      <w:r>
        <w:rPr>
          <w:spacing w:val="-5"/>
        </w:rPr>
        <w:t> </w:t>
      </w:r>
      <w:r>
        <w:rPr/>
        <w:t>of</w:t>
      </w:r>
      <w:r>
        <w:rPr>
          <w:spacing w:val="-5"/>
        </w:rPr>
        <w:t> </w:t>
      </w:r>
      <w:r>
        <w:rPr/>
        <w:t>the</w:t>
      </w:r>
      <w:r>
        <w:rPr>
          <w:spacing w:val="-5"/>
        </w:rPr>
        <w:t> </w:t>
      </w:r>
      <w:r>
        <w:rPr/>
        <w:t>update.</w:t>
      </w:r>
      <w:r>
        <w:rPr>
          <w:spacing w:val="80"/>
        </w:rPr>
        <w:t> </w:t>
      </w:r>
      <w:r>
        <w:rPr/>
        <w:t>The</w:t>
      </w:r>
      <w:r>
        <w:rPr>
          <w:spacing w:val="-5"/>
        </w:rPr>
        <w:t> </w:t>
      </w:r>
      <w:r>
        <w:rPr/>
        <w:t>AttributeSelection indicates, as discussed in [RFC4511][RFC3673], which attributes are requested to appear in the copy.</w:t>
      </w:r>
      <w:r>
        <w:rPr>
          <w:spacing w:val="80"/>
        </w:rPr>
        <w:t> </w:t>
      </w:r>
      <w:r>
        <w:rPr/>
        <w:t>The server is to return a SearchResultEntry containing, subject to access controls and other constraints, values of the requested attributes.</w:t>
      </w:r>
    </w:p>
    <w:p>
      <w:pPr>
        <w:pStyle w:val="BodyText"/>
        <w:spacing w:line="232" w:lineRule="auto" w:before="222"/>
        <w:ind w:right="439"/>
      </w:pPr>
      <w:r>
        <w:rPr/>
        <w:t>The</w:t>
      </w:r>
      <w:r>
        <w:rPr>
          <w:spacing w:val="-5"/>
        </w:rPr>
        <w:t> </w:t>
      </w:r>
      <w:r>
        <w:rPr/>
        <w:t>normal</w:t>
      </w:r>
      <w:r>
        <w:rPr>
          <w:spacing w:val="-5"/>
        </w:rPr>
        <w:t> </w:t>
      </w:r>
      <w:r>
        <w:rPr/>
        <w:t>processing</w:t>
      </w:r>
      <w:r>
        <w:rPr>
          <w:spacing w:val="-5"/>
        </w:rPr>
        <w:t> </w:t>
      </w:r>
      <w:r>
        <w:rPr/>
        <w:t>of</w:t>
      </w:r>
      <w:r>
        <w:rPr>
          <w:spacing w:val="-5"/>
        </w:rPr>
        <w:t> </w:t>
      </w:r>
      <w:r>
        <w:rPr/>
        <w:t>the</w:t>
      </w:r>
      <w:r>
        <w:rPr>
          <w:spacing w:val="-5"/>
        </w:rPr>
        <w:t> </w:t>
      </w:r>
      <w:r>
        <w:rPr/>
        <w:t>update</w:t>
      </w:r>
      <w:r>
        <w:rPr>
          <w:spacing w:val="-5"/>
        </w:rPr>
        <w:t> </w:t>
      </w:r>
      <w:r>
        <w:rPr/>
        <w:t>operation</w:t>
      </w:r>
      <w:r>
        <w:rPr>
          <w:spacing w:val="-5"/>
        </w:rPr>
        <w:t> </w:t>
      </w:r>
      <w:r>
        <w:rPr/>
        <w:t>and</w:t>
      </w:r>
      <w:r>
        <w:rPr>
          <w:spacing w:val="-5"/>
        </w:rPr>
        <w:t> </w:t>
      </w:r>
      <w:r>
        <w:rPr/>
        <w:t>the</w:t>
      </w:r>
      <w:r>
        <w:rPr>
          <w:spacing w:val="-5"/>
        </w:rPr>
        <w:t> </w:t>
      </w:r>
      <w:r>
        <w:rPr/>
        <w:t>processing</w:t>
      </w:r>
      <w:r>
        <w:rPr>
          <w:spacing w:val="-5"/>
        </w:rPr>
        <w:t> </w:t>
      </w:r>
      <w:r>
        <w:rPr/>
        <w:t>of this control MUST be performed as one atomic action isolated from other update operations.</w:t>
      </w:r>
    </w:p>
    <w:p>
      <w:pPr>
        <w:pStyle w:val="BodyText"/>
        <w:spacing w:line="232" w:lineRule="auto" w:before="220"/>
        <w:ind w:right="1463"/>
      </w:pPr>
      <w:r>
        <w:rPr/>
        <w:t>If</w:t>
      </w:r>
      <w:r>
        <w:rPr>
          <w:spacing w:val="-5"/>
        </w:rPr>
        <w:t> </w:t>
      </w:r>
      <w:r>
        <w:rPr/>
        <w:t>the</w:t>
      </w:r>
      <w:r>
        <w:rPr>
          <w:spacing w:val="-5"/>
        </w:rPr>
        <w:t> </w:t>
      </w:r>
      <w:r>
        <w:rPr/>
        <w:t>update</w:t>
      </w:r>
      <w:r>
        <w:rPr>
          <w:spacing w:val="-5"/>
        </w:rPr>
        <w:t> </w:t>
      </w:r>
      <w:r>
        <w:rPr/>
        <w:t>operation</w:t>
      </w:r>
      <w:r>
        <w:rPr>
          <w:spacing w:val="-5"/>
        </w:rPr>
        <w:t> </w:t>
      </w:r>
      <w:r>
        <w:rPr/>
        <w:t>fails</w:t>
      </w:r>
      <w:r>
        <w:rPr>
          <w:spacing w:val="-5"/>
        </w:rPr>
        <w:t> </w:t>
      </w:r>
      <w:r>
        <w:rPr/>
        <w:t>(in</w:t>
      </w:r>
      <w:r>
        <w:rPr>
          <w:spacing w:val="-5"/>
        </w:rPr>
        <w:t> </w:t>
      </w:r>
      <w:r>
        <w:rPr/>
        <w:t>either</w:t>
      </w:r>
      <w:r>
        <w:rPr>
          <w:spacing w:val="-5"/>
        </w:rPr>
        <w:t> </w:t>
      </w:r>
      <w:r>
        <w:rPr/>
        <w:t>normal</w:t>
      </w:r>
      <w:r>
        <w:rPr>
          <w:spacing w:val="-5"/>
        </w:rPr>
        <w:t> </w:t>
      </w:r>
      <w:r>
        <w:rPr/>
        <w:t>or</w:t>
      </w:r>
      <w:r>
        <w:rPr>
          <w:spacing w:val="-5"/>
        </w:rPr>
        <w:t> </w:t>
      </w:r>
      <w:r>
        <w:rPr/>
        <w:t>control processing), no Pre-Read response control is provided.</w:t>
      </w:r>
    </w:p>
    <w:p>
      <w:pPr>
        <w:pStyle w:val="ListParagraph"/>
        <w:numPr>
          <w:ilvl w:val="1"/>
          <w:numId w:val="2"/>
        </w:numPr>
        <w:tabs>
          <w:tab w:pos="876" w:val="left" w:leader="none"/>
        </w:tabs>
        <w:spacing w:line="240" w:lineRule="auto" w:before="216" w:after="0"/>
        <w:ind w:left="876" w:right="0" w:hanging="716"/>
        <w:jc w:val="left"/>
        <w:rPr>
          <w:sz w:val="20"/>
        </w:rPr>
      </w:pPr>
      <w:r>
        <w:rPr>
          <w:sz w:val="20"/>
        </w:rPr>
        <w:t>The</w:t>
      </w:r>
      <w:r>
        <w:rPr>
          <w:spacing w:val="-6"/>
          <w:sz w:val="20"/>
        </w:rPr>
        <w:t> </w:t>
      </w:r>
      <w:r>
        <w:rPr>
          <w:sz w:val="20"/>
        </w:rPr>
        <w:t>Post-Read</w:t>
      </w:r>
      <w:r>
        <w:rPr>
          <w:spacing w:val="-6"/>
          <w:sz w:val="20"/>
        </w:rPr>
        <w:t> </w:t>
      </w:r>
      <w:r>
        <w:rPr>
          <w:spacing w:val="-2"/>
          <w:sz w:val="20"/>
        </w:rPr>
        <w:t>Controls</w:t>
      </w:r>
    </w:p>
    <w:p>
      <w:pPr>
        <w:pStyle w:val="BodyText"/>
        <w:spacing w:line="232" w:lineRule="auto" w:before="218"/>
        <w:ind w:right="439"/>
      </w:pPr>
      <w:r>
        <w:rPr/>
        <w:t>The</w:t>
      </w:r>
      <w:r>
        <w:rPr>
          <w:spacing w:val="-5"/>
        </w:rPr>
        <w:t> </w:t>
      </w:r>
      <w:r>
        <w:rPr/>
        <w:t>Post-Read</w:t>
      </w:r>
      <w:r>
        <w:rPr>
          <w:spacing w:val="-5"/>
        </w:rPr>
        <w:t> </w:t>
      </w:r>
      <w:r>
        <w:rPr/>
        <w:t>request</w:t>
      </w:r>
      <w:r>
        <w:rPr>
          <w:spacing w:val="-5"/>
        </w:rPr>
        <w:t> </w:t>
      </w:r>
      <w:r>
        <w:rPr/>
        <w:t>and</w:t>
      </w:r>
      <w:r>
        <w:rPr>
          <w:spacing w:val="-5"/>
        </w:rPr>
        <w:t> </w:t>
      </w:r>
      <w:r>
        <w:rPr/>
        <w:t>response</w:t>
      </w:r>
      <w:r>
        <w:rPr>
          <w:spacing w:val="-5"/>
        </w:rPr>
        <w:t> </w:t>
      </w:r>
      <w:r>
        <w:rPr/>
        <w:t>controls</w:t>
      </w:r>
      <w:r>
        <w:rPr>
          <w:spacing w:val="-5"/>
        </w:rPr>
        <w:t> </w:t>
      </w:r>
      <w:r>
        <w:rPr/>
        <w:t>are</w:t>
      </w:r>
      <w:r>
        <w:rPr>
          <w:spacing w:val="-5"/>
        </w:rPr>
        <w:t> </w:t>
      </w:r>
      <w:r>
        <w:rPr/>
        <w:t>identified</w:t>
      </w:r>
      <w:r>
        <w:rPr>
          <w:spacing w:val="-5"/>
        </w:rPr>
        <w:t> </w:t>
      </w:r>
      <w:r>
        <w:rPr/>
        <w:t>by</w:t>
      </w:r>
      <w:r>
        <w:rPr>
          <w:spacing w:val="-5"/>
        </w:rPr>
        <w:t> </w:t>
      </w:r>
      <w:r>
        <w:rPr/>
        <w:t>the 1.3.6.1.1.13.2 object identifier.</w:t>
      </w:r>
      <w:r>
        <w:rPr>
          <w:spacing w:val="80"/>
        </w:rPr>
        <w:t> </w:t>
      </w:r>
      <w:r>
        <w:rPr/>
        <w:t>Servers implementing these controls SHOULD publish 1.3.6.1.1.13.2 as a value of the ’supportedControl’ [RFC4512] in their root DSE.</w:t>
      </w:r>
    </w:p>
    <w:p>
      <w:pPr>
        <w:pStyle w:val="BodyText"/>
        <w:spacing w:line="232" w:lineRule="auto"/>
        <w:ind w:right="439"/>
      </w:pPr>
      <w:r>
        <w:rPr/>
        <w:t>The Post-Read request control is a LDAP Control [RFC4511] whose controlType is 1.3.6.1.1.13.2 and whose controlValue, an OCTET STRING, contains a BER-encoded AttributeSelection [RFC4511], as extended</w:t>
      </w:r>
      <w:r>
        <w:rPr>
          <w:spacing w:val="-4"/>
        </w:rPr>
        <w:t> </w:t>
      </w:r>
      <w:r>
        <w:rPr/>
        <w:t>by</w:t>
      </w:r>
      <w:r>
        <w:rPr>
          <w:spacing w:val="-4"/>
        </w:rPr>
        <w:t> </w:t>
      </w:r>
      <w:r>
        <w:rPr/>
        <w:t>[RFC3673].</w:t>
      </w:r>
      <w:r>
        <w:rPr>
          <w:spacing w:val="80"/>
        </w:rPr>
        <w:t> </w:t>
      </w:r>
      <w:r>
        <w:rPr/>
        <w:t>The</w:t>
      </w:r>
      <w:r>
        <w:rPr>
          <w:spacing w:val="-4"/>
        </w:rPr>
        <w:t> </w:t>
      </w:r>
      <w:r>
        <w:rPr/>
        <w:t>criticality</w:t>
      </w:r>
      <w:r>
        <w:rPr>
          <w:spacing w:val="-4"/>
        </w:rPr>
        <w:t> </w:t>
      </w:r>
      <w:r>
        <w:rPr/>
        <w:t>may</w:t>
      </w:r>
      <w:r>
        <w:rPr>
          <w:spacing w:val="-4"/>
        </w:rPr>
        <w:t> </w:t>
      </w:r>
      <w:r>
        <w:rPr/>
        <w:t>be</w:t>
      </w:r>
      <w:r>
        <w:rPr>
          <w:spacing w:val="-4"/>
        </w:rPr>
        <w:t> </w:t>
      </w:r>
      <w:r>
        <w:rPr/>
        <w:t>TRUE</w:t>
      </w:r>
      <w:r>
        <w:rPr>
          <w:spacing w:val="-4"/>
        </w:rPr>
        <w:t> </w:t>
      </w:r>
      <w:r>
        <w:rPr/>
        <w:t>or</w:t>
      </w:r>
      <w:r>
        <w:rPr>
          <w:spacing w:val="-4"/>
        </w:rPr>
        <w:t> </w:t>
      </w:r>
      <w:r>
        <w:rPr/>
        <w:t>FALSE.</w:t>
      </w:r>
      <w:r>
        <w:rPr>
          <w:spacing w:val="80"/>
        </w:rPr>
        <w:t> </w:t>
      </w:r>
      <w:r>
        <w:rPr/>
        <w:t>This</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control</w:t>
      </w:r>
      <w:r>
        <w:rPr>
          <w:spacing w:val="-6"/>
        </w:rPr>
        <w:t> </w:t>
      </w:r>
      <w:r>
        <w:rPr/>
        <w:t>is</w:t>
      </w:r>
      <w:r>
        <w:rPr>
          <w:spacing w:val="-6"/>
        </w:rPr>
        <w:t> </w:t>
      </w:r>
      <w:r>
        <w:rPr/>
        <w:t>appropriate</w:t>
      </w:r>
      <w:r>
        <w:rPr>
          <w:spacing w:val="-6"/>
        </w:rPr>
        <w:t> </w:t>
      </w:r>
      <w:r>
        <w:rPr/>
        <w:t>for</w:t>
      </w:r>
      <w:r>
        <w:rPr>
          <w:spacing w:val="-6"/>
        </w:rPr>
        <w:t> </w:t>
      </w:r>
      <w:r>
        <w:rPr/>
        <w:t>the</w:t>
      </w:r>
      <w:r>
        <w:rPr>
          <w:spacing w:val="-6"/>
        </w:rPr>
        <w:t> </w:t>
      </w:r>
      <w:r>
        <w:rPr/>
        <w:t>addRequest,</w:t>
      </w:r>
      <w:r>
        <w:rPr>
          <w:spacing w:val="-6"/>
        </w:rPr>
        <w:t> </w:t>
      </w:r>
      <w:r>
        <w:rPr/>
        <w:t>modifyRequest,</w:t>
      </w:r>
      <w:r>
        <w:rPr>
          <w:spacing w:val="-6"/>
        </w:rPr>
        <w:t> </w:t>
      </w:r>
      <w:r>
        <w:rPr/>
        <w:t>and modDNRequest LDAP messages.</w:t>
      </w:r>
    </w:p>
    <w:p>
      <w:pPr>
        <w:pStyle w:val="BodyText"/>
        <w:spacing w:line="232" w:lineRule="auto" w:before="220"/>
        <w:ind w:right="199"/>
      </w:pPr>
      <w:r>
        <w:rPr/>
        <w:t>The corresponding response control is a LDAP Control whose controlType</w:t>
      </w:r>
      <w:r>
        <w:rPr>
          <w:spacing w:val="-6"/>
        </w:rPr>
        <w:t> </w:t>
      </w:r>
      <w:r>
        <w:rPr/>
        <w:t>is</w:t>
      </w:r>
      <w:r>
        <w:rPr>
          <w:spacing w:val="-6"/>
        </w:rPr>
        <w:t> </w:t>
      </w:r>
      <w:r>
        <w:rPr/>
        <w:t>1.3.6.1.1.13.2</w:t>
      </w:r>
      <w:r>
        <w:rPr>
          <w:spacing w:val="-6"/>
        </w:rPr>
        <w:t> </w:t>
      </w:r>
      <w:r>
        <w:rPr/>
        <w:t>and</w:t>
      </w:r>
      <w:r>
        <w:rPr>
          <w:spacing w:val="-6"/>
        </w:rPr>
        <w:t> </w:t>
      </w:r>
      <w:r>
        <w:rPr/>
        <w:t>whose</w:t>
      </w:r>
      <w:r>
        <w:rPr>
          <w:spacing w:val="-6"/>
        </w:rPr>
        <w:t> </w:t>
      </w:r>
      <w:r>
        <w:rPr/>
        <w:t>controlValue</w:t>
      </w:r>
      <w:r>
        <w:rPr>
          <w:spacing w:val="-6"/>
        </w:rPr>
        <w:t> </w:t>
      </w:r>
      <w:r>
        <w:rPr/>
        <w:t>is</w:t>
      </w:r>
      <w:r>
        <w:rPr>
          <w:spacing w:val="-6"/>
        </w:rPr>
        <w:t> </w:t>
      </w:r>
      <w:r>
        <w:rPr/>
        <w:t>a</w:t>
      </w:r>
      <w:r>
        <w:rPr>
          <w:spacing w:val="-6"/>
        </w:rPr>
        <w:t> </w:t>
      </w:r>
      <w:r>
        <w:rPr/>
        <w:t>BER-encoded SearchResultEntry.</w:t>
      </w:r>
      <w:r>
        <w:rPr>
          <w:spacing w:val="80"/>
        </w:rPr>
        <w:t> </w:t>
      </w:r>
      <w:r>
        <w:rPr/>
        <w:t>The criticality may be TRUE or FALSE.</w:t>
      </w:r>
      <w:r>
        <w:rPr>
          <w:spacing w:val="80"/>
        </w:rPr>
        <w:t> </w:t>
      </w:r>
      <w:r>
        <w:rPr/>
        <w:t>This control is appropriate for the addResponse, modifyResponse, and modDNResponse LDAP messages with a resultCode of success (0).</w:t>
      </w:r>
    </w:p>
    <w:p>
      <w:pPr>
        <w:pStyle w:val="BodyText"/>
        <w:spacing w:line="232" w:lineRule="auto"/>
        <w:ind w:right="439"/>
      </w:pPr>
      <w:r>
        <w:rPr/>
        <w:t>When the request control is attached to an appropriate update LDAP request, the control requests the return of a copy of the target entry after the application of the update.</w:t>
      </w:r>
      <w:r>
        <w:rPr>
          <w:spacing w:val="80"/>
        </w:rPr>
        <w:t> </w:t>
      </w:r>
      <w:r>
        <w:rPr/>
        <w:t>The AttributeSelection indicates,</w:t>
      </w:r>
      <w:r>
        <w:rPr>
          <w:spacing w:val="-6"/>
        </w:rPr>
        <w:t> </w:t>
      </w:r>
      <w:r>
        <w:rPr/>
        <w:t>as</w:t>
      </w:r>
      <w:r>
        <w:rPr>
          <w:spacing w:val="-6"/>
        </w:rPr>
        <w:t> </w:t>
      </w:r>
      <w:r>
        <w:rPr/>
        <w:t>discussed</w:t>
      </w:r>
      <w:r>
        <w:rPr>
          <w:spacing w:val="-6"/>
        </w:rPr>
        <w:t> </w:t>
      </w:r>
      <w:r>
        <w:rPr/>
        <w:t>in</w:t>
      </w:r>
      <w:r>
        <w:rPr>
          <w:spacing w:val="-6"/>
        </w:rPr>
        <w:t> </w:t>
      </w:r>
      <w:r>
        <w:rPr/>
        <w:t>[RFC4511][RFC3673],</w:t>
      </w:r>
      <w:r>
        <w:rPr>
          <w:spacing w:val="-6"/>
        </w:rPr>
        <w:t> </w:t>
      </w:r>
      <w:r>
        <w:rPr/>
        <w:t>which</w:t>
      </w:r>
      <w:r>
        <w:rPr>
          <w:spacing w:val="-6"/>
        </w:rPr>
        <w:t> </w:t>
      </w:r>
      <w:r>
        <w:rPr/>
        <w:t>attributes</w:t>
      </w:r>
      <w:r>
        <w:rPr>
          <w:spacing w:val="-6"/>
        </w:rPr>
        <w:t> </w:t>
      </w:r>
      <w:r>
        <w:rPr/>
        <w:t>are requested to appear in the copy.</w:t>
      </w:r>
      <w:r>
        <w:rPr>
          <w:spacing w:val="80"/>
        </w:rPr>
        <w:t> </w:t>
      </w:r>
      <w:r>
        <w:rPr/>
        <w:t>The server is to return a SearchResultEntry containing, subject to access controls and other constraints, values of the requested attributes.</w:t>
      </w:r>
    </w:p>
    <w:p>
      <w:pPr>
        <w:pStyle w:val="BodyText"/>
        <w:spacing w:line="232" w:lineRule="auto" w:before="222"/>
        <w:ind w:right="439"/>
      </w:pPr>
      <w:r>
        <w:rPr/>
        <w:t>The</w:t>
      </w:r>
      <w:r>
        <w:rPr>
          <w:spacing w:val="-5"/>
        </w:rPr>
        <w:t> </w:t>
      </w:r>
      <w:r>
        <w:rPr/>
        <w:t>normal</w:t>
      </w:r>
      <w:r>
        <w:rPr>
          <w:spacing w:val="-5"/>
        </w:rPr>
        <w:t> </w:t>
      </w:r>
      <w:r>
        <w:rPr/>
        <w:t>processing</w:t>
      </w:r>
      <w:r>
        <w:rPr>
          <w:spacing w:val="-5"/>
        </w:rPr>
        <w:t> </w:t>
      </w:r>
      <w:r>
        <w:rPr/>
        <w:t>of</w:t>
      </w:r>
      <w:r>
        <w:rPr>
          <w:spacing w:val="-5"/>
        </w:rPr>
        <w:t> </w:t>
      </w:r>
      <w:r>
        <w:rPr/>
        <w:t>the</w:t>
      </w:r>
      <w:r>
        <w:rPr>
          <w:spacing w:val="-5"/>
        </w:rPr>
        <w:t> </w:t>
      </w:r>
      <w:r>
        <w:rPr/>
        <w:t>update</w:t>
      </w:r>
      <w:r>
        <w:rPr>
          <w:spacing w:val="-5"/>
        </w:rPr>
        <w:t> </w:t>
      </w:r>
      <w:r>
        <w:rPr/>
        <w:t>operation</w:t>
      </w:r>
      <w:r>
        <w:rPr>
          <w:spacing w:val="-5"/>
        </w:rPr>
        <w:t> </w:t>
      </w:r>
      <w:r>
        <w:rPr/>
        <w:t>and</w:t>
      </w:r>
      <w:r>
        <w:rPr>
          <w:spacing w:val="-5"/>
        </w:rPr>
        <w:t> </w:t>
      </w:r>
      <w:r>
        <w:rPr/>
        <w:t>the</w:t>
      </w:r>
      <w:r>
        <w:rPr>
          <w:spacing w:val="-5"/>
        </w:rPr>
        <w:t> </w:t>
      </w:r>
      <w:r>
        <w:rPr/>
        <w:t>processing</w:t>
      </w:r>
      <w:r>
        <w:rPr>
          <w:spacing w:val="-5"/>
        </w:rPr>
        <w:t> </w:t>
      </w:r>
      <w:r>
        <w:rPr/>
        <w:t>of this control MUST be performed as one atomic action isolated from other update operations.</w:t>
      </w:r>
    </w:p>
    <w:p>
      <w:pPr>
        <w:pStyle w:val="BodyText"/>
        <w:spacing w:line="232" w:lineRule="auto"/>
        <w:ind w:right="1463"/>
      </w:pPr>
      <w:r>
        <w:rPr/>
        <w:t>If</w:t>
      </w:r>
      <w:r>
        <w:rPr>
          <w:spacing w:val="-5"/>
        </w:rPr>
        <w:t> </w:t>
      </w:r>
      <w:r>
        <w:rPr/>
        <w:t>the</w:t>
      </w:r>
      <w:r>
        <w:rPr>
          <w:spacing w:val="-5"/>
        </w:rPr>
        <w:t> </w:t>
      </w:r>
      <w:r>
        <w:rPr/>
        <w:t>update</w:t>
      </w:r>
      <w:r>
        <w:rPr>
          <w:spacing w:val="-5"/>
        </w:rPr>
        <w:t> </w:t>
      </w:r>
      <w:r>
        <w:rPr/>
        <w:t>operation</w:t>
      </w:r>
      <w:r>
        <w:rPr>
          <w:spacing w:val="-5"/>
        </w:rPr>
        <w:t> </w:t>
      </w:r>
      <w:r>
        <w:rPr/>
        <w:t>fails</w:t>
      </w:r>
      <w:r>
        <w:rPr>
          <w:spacing w:val="-5"/>
        </w:rPr>
        <w:t> </w:t>
      </w:r>
      <w:r>
        <w:rPr/>
        <w:t>(in</w:t>
      </w:r>
      <w:r>
        <w:rPr>
          <w:spacing w:val="-5"/>
        </w:rPr>
        <w:t> </w:t>
      </w:r>
      <w:r>
        <w:rPr/>
        <w:t>either</w:t>
      </w:r>
      <w:r>
        <w:rPr>
          <w:spacing w:val="-5"/>
        </w:rPr>
        <w:t> </w:t>
      </w:r>
      <w:r>
        <w:rPr/>
        <w:t>normal</w:t>
      </w:r>
      <w:r>
        <w:rPr>
          <w:spacing w:val="-5"/>
        </w:rPr>
        <w:t> </w:t>
      </w:r>
      <w:r>
        <w:rPr/>
        <w:t>or</w:t>
      </w:r>
      <w:r>
        <w:rPr>
          <w:spacing w:val="-5"/>
        </w:rPr>
        <w:t> </w:t>
      </w:r>
      <w:r>
        <w:rPr/>
        <w:t>control processing), no Post-Read response control is provided.</w:t>
      </w:r>
    </w:p>
    <w:p>
      <w:pPr>
        <w:pStyle w:val="ListParagraph"/>
        <w:numPr>
          <w:ilvl w:val="0"/>
          <w:numId w:val="2"/>
        </w:numPr>
        <w:tabs>
          <w:tab w:pos="638" w:val="left" w:leader="none"/>
        </w:tabs>
        <w:spacing w:line="240" w:lineRule="auto" w:before="215" w:after="0"/>
        <w:ind w:left="638" w:right="0" w:hanging="478"/>
        <w:jc w:val="left"/>
        <w:rPr>
          <w:sz w:val="20"/>
        </w:rPr>
      </w:pPr>
      <w:r>
        <w:rPr>
          <w:sz w:val="20"/>
        </w:rPr>
        <w:t>Interaction</w:t>
      </w:r>
      <w:r>
        <w:rPr>
          <w:spacing w:val="-7"/>
          <w:sz w:val="20"/>
        </w:rPr>
        <w:t> </w:t>
      </w:r>
      <w:r>
        <w:rPr>
          <w:sz w:val="20"/>
        </w:rPr>
        <w:t>with</w:t>
      </w:r>
      <w:r>
        <w:rPr>
          <w:spacing w:val="-7"/>
          <w:sz w:val="20"/>
        </w:rPr>
        <w:t> </w:t>
      </w:r>
      <w:r>
        <w:rPr>
          <w:sz w:val="20"/>
        </w:rPr>
        <w:t>Other</w:t>
      </w:r>
      <w:r>
        <w:rPr>
          <w:spacing w:val="-6"/>
          <w:sz w:val="20"/>
        </w:rPr>
        <w:t> </w:t>
      </w:r>
      <w:r>
        <w:rPr>
          <w:spacing w:val="-2"/>
          <w:sz w:val="20"/>
        </w:rPr>
        <w:t>Controls</w:t>
      </w:r>
    </w:p>
    <w:p>
      <w:pPr>
        <w:pStyle w:val="BodyText"/>
        <w:spacing w:line="232" w:lineRule="auto" w:before="219"/>
        <w:ind w:right="199"/>
      </w:pPr>
      <w:r>
        <w:rPr/>
        <w:t>The Pre-Read and Post-Read controls may be combined with each other and/or with a variety of other controls.</w:t>
      </w:r>
      <w:r>
        <w:rPr>
          <w:spacing w:val="80"/>
        </w:rPr>
        <w:t> </w:t>
      </w:r>
      <w:r>
        <w:rPr/>
        <w:t>When combined with the assertion</w:t>
      </w:r>
      <w:r>
        <w:rPr>
          <w:spacing w:val="-6"/>
        </w:rPr>
        <w:t> </w:t>
      </w:r>
      <w:r>
        <w:rPr/>
        <w:t>control</w:t>
      </w:r>
      <w:r>
        <w:rPr>
          <w:spacing w:val="-6"/>
        </w:rPr>
        <w:t> </w:t>
      </w:r>
      <w:r>
        <w:rPr/>
        <w:t>[RFC4528]</w:t>
      </w:r>
      <w:r>
        <w:rPr>
          <w:spacing w:val="-6"/>
        </w:rPr>
        <w:t> </w:t>
      </w:r>
      <w:r>
        <w:rPr/>
        <w:t>and/or</w:t>
      </w:r>
      <w:r>
        <w:rPr>
          <w:spacing w:val="-6"/>
        </w:rPr>
        <w:t> </w:t>
      </w:r>
      <w:r>
        <w:rPr/>
        <w:t>the</w:t>
      </w:r>
      <w:r>
        <w:rPr>
          <w:spacing w:val="-6"/>
        </w:rPr>
        <w:t> </w:t>
      </w:r>
      <w:r>
        <w:rPr/>
        <w:t>manageDsaIT</w:t>
      </w:r>
      <w:r>
        <w:rPr>
          <w:spacing w:val="-6"/>
        </w:rPr>
        <w:t> </w:t>
      </w:r>
      <w:r>
        <w:rPr/>
        <w:t>control</w:t>
      </w:r>
      <w:r>
        <w:rPr>
          <w:spacing w:val="-6"/>
        </w:rPr>
        <w:t> </w:t>
      </w:r>
      <w:r>
        <w:rPr/>
        <w:t>[RFC3296], the semantics of each control included in the combination applies.</w:t>
      </w:r>
    </w:p>
    <w:p>
      <w:pPr>
        <w:pStyle w:val="BodyText"/>
        <w:spacing w:line="232" w:lineRule="auto" w:before="1"/>
        <w:ind w:right="439"/>
      </w:pPr>
      <w:r>
        <w:rPr/>
        <w:t>The</w:t>
      </w:r>
      <w:r>
        <w:rPr>
          <w:spacing w:val="-5"/>
        </w:rPr>
        <w:t> </w:t>
      </w:r>
      <w:r>
        <w:rPr/>
        <w:t>Pre-Read</w:t>
      </w:r>
      <w:r>
        <w:rPr>
          <w:spacing w:val="-5"/>
        </w:rPr>
        <w:t> </w:t>
      </w:r>
      <w:r>
        <w:rPr/>
        <w:t>and</w:t>
      </w:r>
      <w:r>
        <w:rPr>
          <w:spacing w:val="-5"/>
        </w:rPr>
        <w:t> </w:t>
      </w:r>
      <w:r>
        <w:rPr/>
        <w:t>Post-Read</w:t>
      </w:r>
      <w:r>
        <w:rPr>
          <w:spacing w:val="-5"/>
        </w:rPr>
        <w:t> </w:t>
      </w:r>
      <w:r>
        <w:rPr/>
        <w:t>controls</w:t>
      </w:r>
      <w:r>
        <w:rPr>
          <w:spacing w:val="-5"/>
        </w:rPr>
        <w:t> </w:t>
      </w:r>
      <w:r>
        <w:rPr/>
        <w:t>may</w:t>
      </w:r>
      <w:r>
        <w:rPr>
          <w:spacing w:val="-5"/>
        </w:rPr>
        <w:t> </w:t>
      </w:r>
      <w:r>
        <w:rPr/>
        <w:t>be</w:t>
      </w:r>
      <w:r>
        <w:rPr>
          <w:spacing w:val="-5"/>
        </w:rPr>
        <w:t> </w:t>
      </w:r>
      <w:r>
        <w:rPr/>
        <w:t>combined</w:t>
      </w:r>
      <w:r>
        <w:rPr>
          <w:spacing w:val="-5"/>
        </w:rPr>
        <w:t> </w:t>
      </w:r>
      <w:r>
        <w:rPr/>
        <w:t>with</w:t>
      </w:r>
      <w:r>
        <w:rPr>
          <w:spacing w:val="-5"/>
        </w:rPr>
        <w:t> </w:t>
      </w:r>
      <w:r>
        <w:rPr/>
        <w:t>other controls as detailed in other technical specifications.</w:t>
      </w:r>
    </w:p>
    <w:p>
      <w:pPr>
        <w:pStyle w:val="ListParagraph"/>
        <w:numPr>
          <w:ilvl w:val="0"/>
          <w:numId w:val="2"/>
        </w:numPr>
        <w:tabs>
          <w:tab w:pos="638" w:val="left" w:leader="none"/>
        </w:tabs>
        <w:spacing w:line="240" w:lineRule="auto" w:before="215"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319"/>
      </w:pPr>
      <w:r>
        <w:rPr/>
        <w:t>The controls defined in this document extend update operations to support read capabilities.</w:t>
      </w:r>
      <w:r>
        <w:rPr>
          <w:spacing w:val="80"/>
        </w:rPr>
        <w:t> </w:t>
      </w:r>
      <w:r>
        <w:rPr/>
        <w:t>Servers MUST ensure that the client is authorized for reading of the information provided in this control and</w:t>
      </w:r>
      <w:r>
        <w:rPr>
          <w:spacing w:val="-5"/>
        </w:rPr>
        <w:t> </w:t>
      </w:r>
      <w:r>
        <w:rPr/>
        <w:t>that</w:t>
      </w:r>
      <w:r>
        <w:rPr>
          <w:spacing w:val="-5"/>
        </w:rPr>
        <w:t> </w:t>
      </w:r>
      <w:r>
        <w:rPr/>
        <w:t>the</w:t>
      </w:r>
      <w:r>
        <w:rPr>
          <w:spacing w:val="-5"/>
        </w:rPr>
        <w:t> </w:t>
      </w:r>
      <w:r>
        <w:rPr/>
        <w:t>client</w:t>
      </w:r>
      <w:r>
        <w:rPr>
          <w:spacing w:val="-5"/>
        </w:rPr>
        <w:t> </w:t>
      </w:r>
      <w:r>
        <w:rPr/>
        <w:t>is</w:t>
      </w:r>
      <w:r>
        <w:rPr>
          <w:spacing w:val="-5"/>
        </w:rPr>
        <w:t> </w:t>
      </w:r>
      <w:r>
        <w:rPr/>
        <w:t>authorized</w:t>
      </w:r>
      <w:r>
        <w:rPr>
          <w:spacing w:val="-5"/>
        </w:rPr>
        <w:t> </w:t>
      </w:r>
      <w:r>
        <w:rPr/>
        <w:t>to</w:t>
      </w:r>
      <w:r>
        <w:rPr>
          <w:spacing w:val="-5"/>
        </w:rPr>
        <w:t> </w:t>
      </w:r>
      <w:r>
        <w:rPr/>
        <w:t>perform</w:t>
      </w:r>
      <w:r>
        <w:rPr>
          <w:spacing w:val="-5"/>
        </w:rPr>
        <w:t> </w:t>
      </w:r>
      <w:r>
        <w:rPr/>
        <w:t>the</w:t>
      </w:r>
      <w:r>
        <w:rPr>
          <w:spacing w:val="-5"/>
        </w:rPr>
        <w:t> </w:t>
      </w:r>
      <w:r>
        <w:rPr/>
        <w:t>requested</w:t>
      </w:r>
      <w:r>
        <w:rPr>
          <w:spacing w:val="-5"/>
        </w:rPr>
        <w:t> </w:t>
      </w:r>
      <w:r>
        <w:rPr/>
        <w:t>directory </w:t>
      </w:r>
      <w:r>
        <w:rPr>
          <w:spacing w:val="-2"/>
        </w:rPr>
        <w:t>update.</w:t>
      </w:r>
    </w:p>
    <w:p>
      <w:pPr>
        <w:pStyle w:val="BodyText"/>
        <w:spacing w:line="232" w:lineRule="auto" w:before="222"/>
        <w:ind w:right="319"/>
      </w:pPr>
      <w:r>
        <w:rPr/>
        <w:t>Security</w:t>
      </w:r>
      <w:r>
        <w:rPr>
          <w:spacing w:val="-6"/>
        </w:rPr>
        <w:t> </w:t>
      </w:r>
      <w:r>
        <w:rPr/>
        <w:t>considerations</w:t>
      </w:r>
      <w:r>
        <w:rPr>
          <w:spacing w:val="-6"/>
        </w:rPr>
        <w:t> </w:t>
      </w:r>
      <w:r>
        <w:rPr/>
        <w:t>for</w:t>
      </w:r>
      <w:r>
        <w:rPr>
          <w:spacing w:val="-6"/>
        </w:rPr>
        <w:t> </w:t>
      </w:r>
      <w:r>
        <w:rPr/>
        <w:t>the</w:t>
      </w:r>
      <w:r>
        <w:rPr>
          <w:spacing w:val="-6"/>
        </w:rPr>
        <w:t> </w:t>
      </w:r>
      <w:r>
        <w:rPr/>
        <w:t>update</w:t>
      </w:r>
      <w:r>
        <w:rPr>
          <w:spacing w:val="-6"/>
        </w:rPr>
        <w:t> </w:t>
      </w:r>
      <w:r>
        <w:rPr/>
        <w:t>operations</w:t>
      </w:r>
      <w:r>
        <w:rPr>
          <w:spacing w:val="-6"/>
        </w:rPr>
        <w:t> </w:t>
      </w:r>
      <w:r>
        <w:rPr/>
        <w:t>[RFC4511]</w:t>
      </w:r>
      <w:r>
        <w:rPr>
          <w:spacing w:val="-6"/>
        </w:rPr>
        <w:t> </w:t>
      </w:r>
      <w:r>
        <w:rPr/>
        <w:t>extended by this control, as well as general LDAP security considerations [RFC4510], generally apply to implementation and use of this </w:t>
      </w:r>
      <w:r>
        <w:rPr>
          <w:spacing w:val="-2"/>
        </w:rPr>
        <w:t>extension</w:t>
      </w:r>
    </w:p>
    <w:p>
      <w:pPr>
        <w:pStyle w:val="BodyText"/>
        <w:spacing w:after="0" w:line="232" w:lineRule="auto"/>
        <w:sectPr>
          <w:pgSz w:w="12240" w:h="15840"/>
          <w:pgMar w:header="793" w:footer="2967" w:top="1360" w:bottom="3160" w:left="1440" w:right="1800"/>
        </w:sectPr>
      </w:pPr>
    </w:p>
    <w:p>
      <w:pPr>
        <w:pStyle w:val="ListParagraph"/>
        <w:numPr>
          <w:ilvl w:val="0"/>
          <w:numId w:val="2"/>
        </w:numPr>
        <w:tabs>
          <w:tab w:pos="638" w:val="left" w:leader="none"/>
        </w:tabs>
        <w:spacing w:line="240" w:lineRule="auto" w:before="90"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pPr>
      <w:r>
        <w:rPr/>
        <w:t>Registration</w:t>
      </w:r>
      <w:r>
        <w:rPr>
          <w:spacing w:val="-6"/>
        </w:rPr>
        <w:t> </w:t>
      </w:r>
      <w:r>
        <w:rPr/>
        <w:t>of</w:t>
      </w:r>
      <w:r>
        <w:rPr>
          <w:spacing w:val="-6"/>
        </w:rPr>
        <w:t> </w:t>
      </w:r>
      <w:r>
        <w:rPr/>
        <w:t>the</w:t>
      </w:r>
      <w:r>
        <w:rPr>
          <w:spacing w:val="-6"/>
        </w:rPr>
        <w:t> </w:t>
      </w:r>
      <w:r>
        <w:rPr/>
        <w:t>following</w:t>
      </w:r>
      <w:r>
        <w:rPr>
          <w:spacing w:val="-6"/>
        </w:rPr>
        <w:t> </w:t>
      </w:r>
      <w:r>
        <w:rPr/>
        <w:t>protocol</w:t>
      </w:r>
      <w:r>
        <w:rPr>
          <w:spacing w:val="-6"/>
        </w:rPr>
        <w:t> </w:t>
      </w:r>
      <w:r>
        <w:rPr/>
        <w:t>values</w:t>
      </w:r>
      <w:r>
        <w:rPr>
          <w:spacing w:val="-6"/>
        </w:rPr>
        <w:t> </w:t>
      </w:r>
      <w:r>
        <w:rPr/>
        <w:t>[RFC4520]</w:t>
      </w:r>
      <w:r>
        <w:rPr>
          <w:spacing w:val="-6"/>
        </w:rPr>
        <w:t> </w:t>
      </w:r>
      <w:r>
        <w:rPr/>
        <w:t>have</w:t>
      </w:r>
      <w:r>
        <w:rPr>
          <w:spacing w:val="-6"/>
        </w:rPr>
        <w:t> </w:t>
      </w:r>
      <w:r>
        <w:rPr/>
        <w:t>been completed by the IANA.</w:t>
      </w:r>
    </w:p>
    <w:p>
      <w:pPr>
        <w:pStyle w:val="ListParagraph"/>
        <w:numPr>
          <w:ilvl w:val="1"/>
          <w:numId w:val="2"/>
        </w:numPr>
        <w:tabs>
          <w:tab w:pos="876" w:val="left" w:leader="none"/>
        </w:tabs>
        <w:spacing w:line="240" w:lineRule="auto" w:before="216" w:after="0"/>
        <w:ind w:left="876" w:right="0" w:hanging="716"/>
        <w:jc w:val="left"/>
        <w:rPr>
          <w:sz w:val="20"/>
        </w:rPr>
      </w:pPr>
      <w:r>
        <w:rPr>
          <w:sz w:val="20"/>
        </w:rPr>
        <w:t>Object</w:t>
      </w:r>
      <w:r>
        <w:rPr>
          <w:spacing w:val="-6"/>
          <w:sz w:val="20"/>
        </w:rPr>
        <w:t> </w:t>
      </w:r>
      <w:r>
        <w:rPr>
          <w:spacing w:val="-2"/>
          <w:sz w:val="20"/>
        </w:rPr>
        <w:t>Identifier</w:t>
      </w:r>
    </w:p>
    <w:p>
      <w:pPr>
        <w:pStyle w:val="BodyText"/>
        <w:spacing w:line="232" w:lineRule="auto" w:before="218"/>
      </w:pPr>
      <w:r>
        <w:rPr/>
        <w:t>The</w:t>
      </w:r>
      <w:r>
        <w:rPr>
          <w:spacing w:val="-5"/>
        </w:rPr>
        <w:t> </w:t>
      </w:r>
      <w:r>
        <w:rPr/>
        <w:t>IANA</w:t>
      </w:r>
      <w:r>
        <w:rPr>
          <w:spacing w:val="-5"/>
        </w:rPr>
        <w:t> </w:t>
      </w:r>
      <w:r>
        <w:rPr/>
        <w:t>has</w:t>
      </w:r>
      <w:r>
        <w:rPr>
          <w:spacing w:val="-5"/>
        </w:rPr>
        <w:t> </w:t>
      </w:r>
      <w:r>
        <w:rPr/>
        <w:t>registered</w:t>
      </w:r>
      <w:r>
        <w:rPr>
          <w:spacing w:val="-5"/>
        </w:rPr>
        <w:t> </w:t>
      </w:r>
      <w:r>
        <w:rPr/>
        <w:t>an</w:t>
      </w:r>
      <w:r>
        <w:rPr>
          <w:spacing w:val="-5"/>
        </w:rPr>
        <w:t> </w:t>
      </w:r>
      <w:r>
        <w:rPr/>
        <w:t>LDAP</w:t>
      </w:r>
      <w:r>
        <w:rPr>
          <w:spacing w:val="-5"/>
        </w:rPr>
        <w:t> </w:t>
      </w:r>
      <w:r>
        <w:rPr/>
        <w:t>Object</w:t>
      </w:r>
      <w:r>
        <w:rPr>
          <w:spacing w:val="-5"/>
        </w:rPr>
        <w:t> </w:t>
      </w:r>
      <w:r>
        <w:rPr/>
        <w:t>Identifier</w:t>
      </w:r>
      <w:r>
        <w:rPr>
          <w:spacing w:val="-5"/>
        </w:rPr>
        <w:t> </w:t>
      </w:r>
      <w:r>
        <w:rPr/>
        <w:t>to</w:t>
      </w:r>
      <w:r>
        <w:rPr>
          <w:spacing w:val="-5"/>
        </w:rPr>
        <w:t> </w:t>
      </w:r>
      <w:r>
        <w:rPr/>
        <w:t>identify</w:t>
      </w:r>
      <w:r>
        <w:rPr>
          <w:spacing w:val="-5"/>
        </w:rPr>
        <w:t> </w:t>
      </w:r>
      <w:r>
        <w:rPr/>
        <w:t>LDAP protocol elements defined in this document.</w:t>
      </w:r>
    </w:p>
    <w:p>
      <w:pPr>
        <w:pStyle w:val="BodyText"/>
        <w:spacing w:line="232" w:lineRule="auto"/>
        <w:ind w:left="1000" w:right="679"/>
      </w:pPr>
      <w:r>
        <w:rPr/>
        <w:t>Subject: Request for LDAP Object Identifier Registration 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w:t>
      </w:r>
    </w:p>
    <w:p>
      <w:pPr>
        <w:pStyle w:val="BodyText"/>
        <w:spacing w:line="232" w:lineRule="auto" w:before="0"/>
        <w:ind w:left="1000" w:right="3379" w:firstLine="600"/>
      </w:pPr>
      <w:r>
        <w:rPr/>
        <w:t>Kurt</w:t>
      </w:r>
      <w:r>
        <w:rPr>
          <w:spacing w:val="-20"/>
        </w:rPr>
        <w:t> </w:t>
      </w:r>
      <w:r>
        <w:rPr/>
        <w:t>Zeilenga</w:t>
      </w:r>
      <w:r>
        <w:rPr>
          <w:spacing w:val="-20"/>
        </w:rPr>
        <w:t> </w:t>
      </w:r>
      <w:r>
        <w:rPr/>
        <w:t>&lt;</w:t>
      </w:r>
      <w:hyperlink r:id="rId8">
        <w:r>
          <w:rPr/>
          <w:t>kurt@OpenLDAP.org</w:t>
        </w:r>
      </w:hyperlink>
      <w:r>
        <w:rPr/>
        <w:t>&gt; Specification: RFC 4527</w:t>
      </w:r>
    </w:p>
    <w:p>
      <w:pPr>
        <w:pStyle w:val="BodyText"/>
        <w:spacing w:line="219" w:lineRule="exact" w:before="0"/>
        <w:ind w:left="1000"/>
      </w:pPr>
      <w:r>
        <w:rPr/>
        <w:t>Author/Change</w:t>
      </w:r>
      <w:r>
        <w:rPr>
          <w:spacing w:val="-12"/>
        </w:rPr>
        <w:t> </w:t>
      </w:r>
      <w:r>
        <w:rPr/>
        <w:t>Controller:</w:t>
      </w:r>
      <w:r>
        <w:rPr>
          <w:spacing w:val="-12"/>
        </w:rPr>
        <w:t> </w:t>
      </w:r>
      <w:r>
        <w:rPr>
          <w:spacing w:val="-4"/>
        </w:rPr>
        <w:t>IESG</w:t>
      </w:r>
    </w:p>
    <w:p>
      <w:pPr>
        <w:pStyle w:val="BodyText"/>
        <w:spacing w:line="223" w:lineRule="exact" w:before="0"/>
        <w:ind w:left="1000"/>
      </w:pPr>
      <w:r>
        <w:rPr/>
        <w:t>Comments:</w:t>
      </w:r>
      <w:r>
        <w:rPr>
          <w:spacing w:val="-8"/>
        </w:rPr>
        <w:t> </w:t>
      </w:r>
      <w:r>
        <w:rPr/>
        <w:t>Identifies</w:t>
      </w:r>
      <w:r>
        <w:rPr>
          <w:spacing w:val="-6"/>
        </w:rPr>
        <w:t> </w:t>
      </w:r>
      <w:r>
        <w:rPr/>
        <w:t>the</w:t>
      </w:r>
      <w:r>
        <w:rPr>
          <w:spacing w:val="-6"/>
        </w:rPr>
        <w:t> </w:t>
      </w:r>
      <w:r>
        <w:rPr/>
        <w:t>LDAP</w:t>
      </w:r>
      <w:r>
        <w:rPr>
          <w:spacing w:val="-6"/>
        </w:rPr>
        <w:t> </w:t>
      </w:r>
      <w:r>
        <w:rPr/>
        <w:t>Read</w:t>
      </w:r>
      <w:r>
        <w:rPr>
          <w:spacing w:val="-6"/>
        </w:rPr>
        <w:t> </w:t>
      </w:r>
      <w:r>
        <w:rPr/>
        <w:t>Entry</w:t>
      </w:r>
      <w:r>
        <w:rPr>
          <w:spacing w:val="-5"/>
        </w:rPr>
        <w:t> </w:t>
      </w:r>
      <w:r>
        <w:rPr>
          <w:spacing w:val="-2"/>
        </w:rPr>
        <w:t>Controls</w:t>
      </w:r>
    </w:p>
    <w:p>
      <w:pPr>
        <w:pStyle w:val="ListParagraph"/>
        <w:numPr>
          <w:ilvl w:val="1"/>
          <w:numId w:val="2"/>
        </w:numPr>
        <w:tabs>
          <w:tab w:pos="876" w:val="left" w:leader="none"/>
        </w:tabs>
        <w:spacing w:line="240" w:lineRule="auto" w:before="213" w:after="0"/>
        <w:ind w:left="876" w:right="0" w:hanging="716"/>
        <w:jc w:val="left"/>
        <w:rPr>
          <w:sz w:val="20"/>
        </w:rPr>
      </w:pPr>
      <w:r>
        <w:rPr>
          <w:sz w:val="20"/>
        </w:rPr>
        <w:t>LDAP</w:t>
      </w:r>
      <w:r>
        <w:rPr>
          <w:spacing w:val="-6"/>
          <w:sz w:val="20"/>
        </w:rPr>
        <w:t> </w:t>
      </w:r>
      <w:r>
        <w:rPr>
          <w:sz w:val="20"/>
        </w:rPr>
        <w:t>Protocol</w:t>
      </w:r>
      <w:r>
        <w:rPr>
          <w:spacing w:val="-6"/>
          <w:sz w:val="20"/>
        </w:rPr>
        <w:t> </w:t>
      </w:r>
      <w:r>
        <w:rPr>
          <w:spacing w:val="-2"/>
          <w:sz w:val="20"/>
        </w:rPr>
        <w:t>Mechanisms</w:t>
      </w:r>
    </w:p>
    <w:p>
      <w:pPr>
        <w:pStyle w:val="BodyText"/>
        <w:spacing w:line="232" w:lineRule="auto" w:before="219"/>
        <w:ind w:right="199"/>
      </w:pPr>
      <w:r>
        <w:rPr/>
        <w:t>The</w:t>
      </w:r>
      <w:r>
        <w:rPr>
          <w:spacing w:val="-5"/>
        </w:rPr>
        <w:t> </w:t>
      </w:r>
      <w:r>
        <w:rPr/>
        <w:t>IANA</w:t>
      </w:r>
      <w:r>
        <w:rPr>
          <w:spacing w:val="-5"/>
        </w:rPr>
        <w:t> </w:t>
      </w:r>
      <w:r>
        <w:rPr/>
        <w:t>has</w:t>
      </w:r>
      <w:r>
        <w:rPr>
          <w:spacing w:val="-5"/>
        </w:rPr>
        <w:t> </w:t>
      </w:r>
      <w:r>
        <w:rPr/>
        <w:t>registered</w:t>
      </w:r>
      <w:r>
        <w:rPr>
          <w:spacing w:val="-5"/>
        </w:rPr>
        <w:t> </w:t>
      </w:r>
      <w:r>
        <w:rPr/>
        <w:t>the</w:t>
      </w:r>
      <w:r>
        <w:rPr>
          <w:spacing w:val="-5"/>
        </w:rPr>
        <w:t> </w:t>
      </w:r>
      <w:r>
        <w:rPr/>
        <w:t>LDAP</w:t>
      </w:r>
      <w:r>
        <w:rPr>
          <w:spacing w:val="-5"/>
        </w:rPr>
        <w:t> </w:t>
      </w:r>
      <w:r>
        <w:rPr/>
        <w:t>Protocol</w:t>
      </w:r>
      <w:r>
        <w:rPr>
          <w:spacing w:val="-5"/>
        </w:rPr>
        <w:t> </w:t>
      </w:r>
      <w:r>
        <w:rPr/>
        <w:t>Mechanism</w:t>
      </w:r>
      <w:r>
        <w:rPr>
          <w:spacing w:val="-5"/>
        </w:rPr>
        <w:t> </w:t>
      </w:r>
      <w:r>
        <w:rPr/>
        <w:t>described</w:t>
      </w:r>
      <w:r>
        <w:rPr>
          <w:spacing w:val="-5"/>
        </w:rPr>
        <w:t> </w:t>
      </w:r>
      <w:r>
        <w:rPr/>
        <w:t>in</w:t>
      </w:r>
      <w:r>
        <w:rPr>
          <w:spacing w:val="-5"/>
        </w:rPr>
        <w:t> </w:t>
      </w:r>
      <w:r>
        <w:rPr/>
        <w:t>this </w:t>
      </w:r>
      <w:r>
        <w:rPr>
          <w:spacing w:val="-2"/>
        </w:rPr>
        <w:t>document.</w:t>
      </w:r>
    </w:p>
    <w:p>
      <w:pPr>
        <w:pStyle w:val="BodyText"/>
        <w:spacing w:line="232" w:lineRule="auto" w:before="220"/>
        <w:ind w:left="1000" w:right="679"/>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1.3.6.1.1.13.1</w:t>
      </w:r>
    </w:p>
    <w:p>
      <w:pPr>
        <w:pStyle w:val="BodyText"/>
        <w:spacing w:line="219" w:lineRule="exact" w:before="0"/>
        <w:ind w:left="1000"/>
      </w:pPr>
      <w:r>
        <w:rPr/>
        <w:t>Description:</w:t>
      </w:r>
      <w:r>
        <w:rPr>
          <w:spacing w:val="-8"/>
        </w:rPr>
        <w:t> </w:t>
      </w:r>
      <w:r>
        <w:rPr/>
        <w:t>LDAP</w:t>
      </w:r>
      <w:r>
        <w:rPr>
          <w:spacing w:val="-8"/>
        </w:rPr>
        <w:t> </w:t>
      </w:r>
      <w:r>
        <w:rPr/>
        <w:t>Pre-read</w:t>
      </w:r>
      <w:r>
        <w:rPr>
          <w:spacing w:val="-8"/>
        </w:rPr>
        <w:t> </w:t>
      </w:r>
      <w:r>
        <w:rPr>
          <w:spacing w:val="-2"/>
        </w:rPr>
        <w:t>Control</w:t>
      </w:r>
    </w:p>
    <w:p>
      <w:pPr>
        <w:pStyle w:val="BodyText"/>
        <w:spacing w:line="232" w:lineRule="auto" w:before="2"/>
        <w:ind w:left="1600" w:right="679" w:hanging="60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before="0"/>
        <w:ind w:left="1000" w:right="4659"/>
      </w:pPr>
      <w:r>
        <w:rPr/>
        <w:t>Usage: Control Specification:</w:t>
      </w:r>
      <w:r>
        <w:rPr>
          <w:spacing w:val="-20"/>
        </w:rPr>
        <w:t> </w:t>
      </w:r>
      <w:r>
        <w:rPr/>
        <w:t>RFC</w:t>
      </w:r>
      <w:r>
        <w:rPr>
          <w:spacing w:val="-20"/>
        </w:rPr>
        <w:t> </w:t>
      </w:r>
      <w:r>
        <w:rPr/>
        <w:t>4527</w:t>
      </w:r>
    </w:p>
    <w:p>
      <w:pPr>
        <w:pStyle w:val="BodyText"/>
        <w:spacing w:line="232" w:lineRule="auto" w:before="1"/>
        <w:ind w:left="1000" w:right="3379"/>
      </w:pPr>
      <w:r>
        <w:rPr/>
        <w:t>Author/Change</w:t>
      </w:r>
      <w:r>
        <w:rPr>
          <w:spacing w:val="-20"/>
        </w:rPr>
        <w:t> </w:t>
      </w:r>
      <w:r>
        <w:rPr/>
        <w:t>Controller:</w:t>
      </w:r>
      <w:r>
        <w:rPr>
          <w:spacing w:val="-20"/>
        </w:rPr>
        <w:t> </w:t>
      </w:r>
      <w:r>
        <w:rPr/>
        <w:t>IESG Comments: none</w:t>
      </w:r>
    </w:p>
    <w:p>
      <w:pPr>
        <w:pStyle w:val="BodyText"/>
        <w:spacing w:line="232" w:lineRule="auto" w:before="220"/>
        <w:ind w:left="1000" w:right="679"/>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1.3.6.1.1.13.2</w:t>
      </w:r>
    </w:p>
    <w:p>
      <w:pPr>
        <w:pStyle w:val="BodyText"/>
        <w:spacing w:line="219" w:lineRule="exact" w:before="0"/>
        <w:ind w:left="1000"/>
      </w:pPr>
      <w:r>
        <w:rPr/>
        <w:t>Description:</w:t>
      </w:r>
      <w:r>
        <w:rPr>
          <w:spacing w:val="-9"/>
        </w:rPr>
        <w:t> </w:t>
      </w:r>
      <w:r>
        <w:rPr/>
        <w:t>LDAP</w:t>
      </w:r>
      <w:r>
        <w:rPr>
          <w:spacing w:val="-8"/>
        </w:rPr>
        <w:t> </w:t>
      </w:r>
      <w:r>
        <w:rPr/>
        <w:t>Post-read</w:t>
      </w:r>
      <w:r>
        <w:rPr>
          <w:spacing w:val="-8"/>
        </w:rPr>
        <w:t> </w:t>
      </w:r>
      <w:r>
        <w:rPr>
          <w:spacing w:val="-2"/>
        </w:rPr>
        <w:t>Control</w:t>
      </w:r>
    </w:p>
    <w:p>
      <w:pPr>
        <w:pStyle w:val="BodyText"/>
        <w:spacing w:line="232" w:lineRule="auto" w:before="2"/>
        <w:ind w:left="1600" w:right="679" w:hanging="60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before="1"/>
        <w:ind w:left="1000" w:right="4659"/>
      </w:pPr>
      <w:r>
        <w:rPr/>
        <w:t>Usage: Control Specification:</w:t>
      </w:r>
      <w:r>
        <w:rPr>
          <w:spacing w:val="-20"/>
        </w:rPr>
        <w:t> </w:t>
      </w:r>
      <w:r>
        <w:rPr/>
        <w:t>RFC</w:t>
      </w:r>
      <w:r>
        <w:rPr>
          <w:spacing w:val="-20"/>
        </w:rPr>
        <w:t> </w:t>
      </w:r>
      <w:r>
        <w:rPr/>
        <w:t>4527</w:t>
      </w:r>
    </w:p>
    <w:p>
      <w:pPr>
        <w:pStyle w:val="BodyText"/>
        <w:spacing w:line="232" w:lineRule="auto" w:before="0"/>
        <w:ind w:left="1000" w:right="3379"/>
      </w:pPr>
      <w:r>
        <w:rPr/>
        <w:t>Author/Change</w:t>
      </w:r>
      <w:r>
        <w:rPr>
          <w:spacing w:val="-20"/>
        </w:rPr>
        <w:t> </w:t>
      </w:r>
      <w:r>
        <w:rPr/>
        <w:t>Controller:</w:t>
      </w:r>
      <w:r>
        <w:rPr>
          <w:spacing w:val="-20"/>
        </w:rPr>
        <w:t> </w:t>
      </w:r>
      <w:r>
        <w:rPr/>
        <w:t>IESG Comments: none</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Acknowledgement</w:t>
      </w:r>
    </w:p>
    <w:p>
      <w:pPr>
        <w:pStyle w:val="BodyText"/>
        <w:spacing w:line="232" w:lineRule="auto" w:before="218"/>
      </w:pPr>
      <w:r>
        <w:rPr/>
        <w:t>The</w:t>
      </w:r>
      <w:r>
        <w:rPr>
          <w:spacing w:val="-5"/>
        </w:rPr>
        <w:t> </w:t>
      </w:r>
      <w:r>
        <w:rPr/>
        <w:t>LDAP</w:t>
      </w:r>
      <w:r>
        <w:rPr>
          <w:spacing w:val="-5"/>
        </w:rPr>
        <w:t> </w:t>
      </w:r>
      <w:r>
        <w:rPr/>
        <w:t>Pre-Read</w:t>
      </w:r>
      <w:r>
        <w:rPr>
          <w:spacing w:val="-5"/>
        </w:rPr>
        <w:t> </w:t>
      </w:r>
      <w:r>
        <w:rPr/>
        <w:t>and</w:t>
      </w:r>
      <w:r>
        <w:rPr>
          <w:spacing w:val="-5"/>
        </w:rPr>
        <w:t> </w:t>
      </w:r>
      <w:r>
        <w:rPr/>
        <w:t>Post-Read</w:t>
      </w:r>
      <w:r>
        <w:rPr>
          <w:spacing w:val="-5"/>
        </w:rPr>
        <w:t> </w:t>
      </w:r>
      <w:r>
        <w:rPr/>
        <w:t>controls</w:t>
      </w:r>
      <w:r>
        <w:rPr>
          <w:spacing w:val="-5"/>
        </w:rPr>
        <w:t> </w:t>
      </w:r>
      <w:r>
        <w:rPr/>
        <w:t>are</w:t>
      </w:r>
      <w:r>
        <w:rPr>
          <w:spacing w:val="-5"/>
        </w:rPr>
        <w:t> </w:t>
      </w:r>
      <w:r>
        <w:rPr/>
        <w:t>modeled</w:t>
      </w:r>
      <w:r>
        <w:rPr>
          <w:spacing w:val="-5"/>
        </w:rPr>
        <w:t> </w:t>
      </w:r>
      <w:r>
        <w:rPr/>
        <w:t>after</w:t>
      </w:r>
      <w:r>
        <w:rPr>
          <w:spacing w:val="-5"/>
        </w:rPr>
        <w:t> </w:t>
      </w:r>
      <w:r>
        <w:rPr/>
        <w:t>similar capabilities offered in the DAP [X.511].</w:t>
      </w:r>
    </w:p>
    <w:p>
      <w:pPr>
        <w:pStyle w:val="BodyText"/>
        <w:spacing w:after="0" w:line="232" w:lineRule="auto"/>
        <w:sectPr>
          <w:pgSz w:w="12240" w:h="15840"/>
          <w:pgMar w:header="793" w:footer="2967" w:top="1360" w:bottom="3160" w:left="1440" w:right="1800"/>
        </w:sectPr>
      </w:pPr>
    </w:p>
    <w:p>
      <w:pPr>
        <w:pStyle w:val="ListParagraph"/>
        <w:numPr>
          <w:ilvl w:val="0"/>
          <w:numId w:val="2"/>
        </w:numPr>
        <w:tabs>
          <w:tab w:pos="638" w:val="left" w:leader="none"/>
        </w:tabs>
        <w:spacing w:line="240" w:lineRule="auto" w:before="90"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9"/>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0"/>
        <w:ind w:left="2200" w:right="1279" w:hanging="1680"/>
      </w:pPr>
      <w:r>
        <w:rPr>
          <w:spacing w:val="-2"/>
        </w:rPr>
        <w:t>[RFC3296]</w:t>
      </w:r>
      <w:r>
        <w:rPr/>
        <w:tab/>
        <w:t>Zeilenga,</w:t>
      </w:r>
      <w:r>
        <w:rPr>
          <w:spacing w:val="-8"/>
        </w:rPr>
        <w:t> </w:t>
      </w:r>
      <w:r>
        <w:rPr/>
        <w:t>K.,</w:t>
      </w:r>
      <w:r>
        <w:rPr>
          <w:spacing w:val="-8"/>
        </w:rPr>
        <w:t> </w:t>
      </w:r>
      <w:r>
        <w:rPr/>
        <w:t>"Named</w:t>
      </w:r>
      <w:r>
        <w:rPr>
          <w:spacing w:val="-8"/>
        </w:rPr>
        <w:t> </w:t>
      </w:r>
      <w:r>
        <w:rPr/>
        <w:t>Subordinate</w:t>
      </w:r>
      <w:r>
        <w:rPr>
          <w:spacing w:val="-8"/>
        </w:rPr>
        <w:t> </w:t>
      </w:r>
      <w:r>
        <w:rPr/>
        <w:t>References</w:t>
      </w:r>
      <w:r>
        <w:rPr>
          <w:spacing w:val="-8"/>
        </w:rPr>
        <w:t> </w:t>
      </w:r>
      <w:r>
        <w:rPr/>
        <w:t>in Lightweight Directory Access Protocol (LDAP) Directories", RFC 3296, July 2002.</w:t>
      </w:r>
    </w:p>
    <w:p>
      <w:pPr>
        <w:pStyle w:val="BodyText"/>
        <w:spacing w:line="232" w:lineRule="auto"/>
        <w:ind w:left="2200" w:right="559" w:hanging="1680"/>
        <w:jc w:val="both"/>
      </w:pPr>
      <w:r>
        <w:rPr/>
        <w:t>[RFC3673]</w:t>
      </w:r>
      <w:r>
        <w:rPr>
          <w:spacing w:val="40"/>
        </w:rPr>
        <w:t>  </w:t>
      </w:r>
      <w:r>
        <w:rPr/>
        <w:t>Zeilenga,</w:t>
      </w:r>
      <w:r>
        <w:rPr>
          <w:spacing w:val="-5"/>
        </w:rPr>
        <w:t> </w:t>
      </w:r>
      <w:r>
        <w:rPr/>
        <w:t>K.,</w:t>
      </w:r>
      <w:r>
        <w:rPr>
          <w:spacing w:val="-5"/>
        </w:rPr>
        <w:t> </w:t>
      </w:r>
      <w:r>
        <w:rPr/>
        <w:t>"Lightweight</w:t>
      </w:r>
      <w:r>
        <w:rPr>
          <w:spacing w:val="-5"/>
        </w:rPr>
        <w:t> </w:t>
      </w:r>
      <w:r>
        <w:rPr/>
        <w:t>Directory</w:t>
      </w:r>
      <w:r>
        <w:rPr>
          <w:spacing w:val="-5"/>
        </w:rPr>
        <w:t> </w:t>
      </w:r>
      <w:r>
        <w:rPr/>
        <w:t>Access</w:t>
      </w:r>
      <w:r>
        <w:rPr>
          <w:spacing w:val="-5"/>
        </w:rPr>
        <w:t> </w:t>
      </w:r>
      <w:r>
        <w:rPr/>
        <w:t>Protocol version</w:t>
      </w:r>
      <w:r>
        <w:rPr>
          <w:spacing w:val="-7"/>
        </w:rPr>
        <w:t> </w:t>
      </w:r>
      <w:r>
        <w:rPr/>
        <w:t>3</w:t>
      </w:r>
      <w:r>
        <w:rPr>
          <w:spacing w:val="-7"/>
        </w:rPr>
        <w:t> </w:t>
      </w:r>
      <w:r>
        <w:rPr/>
        <w:t>(LDAPv3):</w:t>
      </w:r>
      <w:r>
        <w:rPr>
          <w:spacing w:val="-7"/>
        </w:rPr>
        <w:t> </w:t>
      </w:r>
      <w:r>
        <w:rPr/>
        <w:t>All</w:t>
      </w:r>
      <w:r>
        <w:rPr>
          <w:spacing w:val="-7"/>
        </w:rPr>
        <w:t> </w:t>
      </w:r>
      <w:r>
        <w:rPr/>
        <w:t>Operational</w:t>
      </w:r>
      <w:r>
        <w:rPr>
          <w:spacing w:val="-7"/>
        </w:rPr>
        <w:t> </w:t>
      </w:r>
      <w:r>
        <w:rPr/>
        <w:t>Attributes",</w:t>
      </w:r>
      <w:r>
        <w:rPr>
          <w:spacing w:val="-7"/>
        </w:rPr>
        <w:t> </w:t>
      </w:r>
      <w:r>
        <w:rPr/>
        <w:t>RFC 3673, December 2003.</w:t>
      </w:r>
    </w:p>
    <w:p>
      <w:pPr>
        <w:pStyle w:val="BodyText"/>
        <w:tabs>
          <w:tab w:pos="2199" w:val="left" w:leader="none"/>
        </w:tabs>
        <w:spacing w:line="232" w:lineRule="auto" w:before="220"/>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spacing w:line="232" w:lineRule="auto"/>
        <w:ind w:left="2200" w:right="559" w:hanging="1680"/>
        <w:jc w:val="both"/>
      </w:pPr>
      <w:r>
        <w:rPr/>
        <w:t>[RFC4511]</w:t>
      </w:r>
      <w:r>
        <w:rPr>
          <w:spacing w:val="40"/>
        </w:rPr>
        <w:t>  </w:t>
      </w:r>
      <w:r>
        <w:rPr/>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line="232" w:lineRule="auto" w:before="220"/>
        <w:ind w:left="2200" w:right="559" w:hanging="1680"/>
        <w:jc w:val="both"/>
      </w:pPr>
      <w:r>
        <w:rPr/>
        <w:t>[RFC4528]</w:t>
      </w:r>
      <w:r>
        <w:rPr>
          <w:spacing w:val="40"/>
        </w:rPr>
        <w:t>  </w:t>
      </w:r>
      <w:r>
        <w:rPr/>
        <w:t>Zeilenga,</w:t>
      </w:r>
      <w:r>
        <w:rPr>
          <w:spacing w:val="-5"/>
        </w:rPr>
        <w:t> </w:t>
      </w:r>
      <w:r>
        <w:rPr/>
        <w:t>K.,</w:t>
      </w:r>
      <w:r>
        <w:rPr>
          <w:spacing w:val="-5"/>
        </w:rPr>
        <w:t> </w:t>
      </w:r>
      <w:r>
        <w:rPr/>
        <w:t>"Lightweight</w:t>
      </w:r>
      <w:r>
        <w:rPr>
          <w:spacing w:val="-5"/>
        </w:rPr>
        <w:t> </w:t>
      </w:r>
      <w:r>
        <w:rPr/>
        <w:t>Directory</w:t>
      </w:r>
      <w:r>
        <w:rPr>
          <w:spacing w:val="-5"/>
        </w:rPr>
        <w:t> </w:t>
      </w:r>
      <w:r>
        <w:rPr/>
        <w:t>Access</w:t>
      </w:r>
      <w:r>
        <w:rPr>
          <w:spacing w:val="-5"/>
        </w:rPr>
        <w:t> </w:t>
      </w:r>
      <w:r>
        <w:rPr/>
        <w:t>Protocol (LDAP) Assertion Control", RFC 4528, June 2006.</w:t>
      </w:r>
    </w:p>
    <w:p>
      <w:pPr>
        <w:pStyle w:val="BodyText"/>
        <w:tabs>
          <w:tab w:pos="2199" w:val="left" w:leader="none"/>
        </w:tabs>
        <w:spacing w:line="232" w:lineRule="auto"/>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X.680(1997) (also ISO/IEC 8824-1:1998).</w:t>
      </w:r>
    </w:p>
    <w:p>
      <w:pPr>
        <w:pStyle w:val="BodyText"/>
        <w:tabs>
          <w:tab w:pos="2199" w:val="left" w:leader="none"/>
        </w:tabs>
        <w:spacing w:line="232" w:lineRule="auto"/>
        <w:ind w:left="2200" w:right="319" w:hanging="1680"/>
      </w:pPr>
      <w:r>
        <w:rPr>
          <w:spacing w:val="-2"/>
        </w:rPr>
        <w:t>[X.690]</w:t>
      </w:r>
      <w:r>
        <w:rPr/>
        <w:tab/>
        <w:t>International Telecommunication Union - Telecommunication Standardization Sector, "Specification</w:t>
      </w:r>
      <w:r>
        <w:rPr>
          <w:spacing w:val="-7"/>
        </w:rPr>
        <w:t> </w:t>
      </w:r>
      <w:r>
        <w:rPr/>
        <w:t>of</w:t>
      </w:r>
      <w:r>
        <w:rPr>
          <w:spacing w:val="-7"/>
        </w:rPr>
        <w:t> </w:t>
      </w:r>
      <w:r>
        <w:rPr/>
        <w:t>ASN.1</w:t>
      </w:r>
      <w:r>
        <w:rPr>
          <w:spacing w:val="-7"/>
        </w:rPr>
        <w:t> </w:t>
      </w:r>
      <w:r>
        <w:rPr/>
        <w:t>encoding</w:t>
      </w:r>
      <w:r>
        <w:rPr>
          <w:spacing w:val="-7"/>
        </w:rPr>
        <w:t> </w:t>
      </w:r>
      <w:r>
        <w:rPr/>
        <w:t>rules:</w:t>
      </w:r>
      <w:r>
        <w:rPr>
          <w:spacing w:val="-7"/>
        </w:rPr>
        <w:t> </w:t>
      </w:r>
      <w:r>
        <w:rPr/>
        <w:t>Basic</w:t>
      </w:r>
      <w:r>
        <w:rPr>
          <w:spacing w:val="-7"/>
        </w:rPr>
        <w:t> </w:t>
      </w:r>
      <w:r>
        <w:rPr/>
        <w:t>Encoding Rules (BER), Canonical Encoding Rules (CER), and Distinguished</w:t>
      </w:r>
      <w:r>
        <w:rPr>
          <w:spacing w:val="-9"/>
        </w:rPr>
        <w:t> </w:t>
      </w:r>
      <w:r>
        <w:rPr/>
        <w:t>Encoding</w:t>
      </w:r>
      <w:r>
        <w:rPr>
          <w:spacing w:val="-9"/>
        </w:rPr>
        <w:t> </w:t>
      </w:r>
      <w:r>
        <w:rPr/>
        <w:t>Rules</w:t>
      </w:r>
      <w:r>
        <w:rPr>
          <w:spacing w:val="-9"/>
        </w:rPr>
        <w:t> </w:t>
      </w:r>
      <w:r>
        <w:rPr/>
        <w:t>(DER)",</w:t>
      </w:r>
      <w:r>
        <w:rPr>
          <w:spacing w:val="-9"/>
        </w:rPr>
        <w:t> </w:t>
      </w:r>
      <w:r>
        <w:rPr/>
        <w:t>X.690(1997)</w:t>
      </w:r>
      <w:r>
        <w:rPr>
          <w:spacing w:val="-9"/>
        </w:rPr>
        <w:t> </w:t>
      </w:r>
      <w:r>
        <w:rPr/>
        <w:t>(also ISO/IEC 8825-1:1998).</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8"/>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ind w:left="2200" w:right="199" w:hanging="1680"/>
      </w:pPr>
      <w:r>
        <w:rPr>
          <w:spacing w:val="-2"/>
        </w:rPr>
        <w:t>[RFC4530]</w:t>
      </w:r>
      <w:r>
        <w:rPr/>
        <w:tab/>
        <w:t>Zeilenga, K., "Lightweight Directory Access Protocol (LDAP)</w:t>
      </w:r>
      <w:r>
        <w:rPr>
          <w:spacing w:val="-7"/>
        </w:rPr>
        <w:t> </w:t>
      </w:r>
      <w:r>
        <w:rPr/>
        <w:t>EntryUUID</w:t>
      </w:r>
      <w:r>
        <w:rPr>
          <w:spacing w:val="-7"/>
        </w:rPr>
        <w:t> </w:t>
      </w:r>
      <w:r>
        <w:rPr/>
        <w:t>Operational</w:t>
      </w:r>
      <w:r>
        <w:rPr>
          <w:spacing w:val="-7"/>
        </w:rPr>
        <w:t> </w:t>
      </w:r>
      <w:r>
        <w:rPr/>
        <w:t>Attribute",</w:t>
      </w:r>
      <w:r>
        <w:rPr>
          <w:spacing w:val="-7"/>
        </w:rPr>
        <w:t> </w:t>
      </w:r>
      <w:r>
        <w:rPr/>
        <w:t>RFC</w:t>
      </w:r>
      <w:r>
        <w:rPr>
          <w:spacing w:val="-7"/>
        </w:rPr>
        <w:t> </w:t>
      </w:r>
      <w:r>
        <w:rPr/>
        <w:t>4530,</w:t>
      </w:r>
      <w:r>
        <w:rPr>
          <w:spacing w:val="-7"/>
        </w:rPr>
        <w:t> </w:t>
      </w:r>
      <w:r>
        <w:rPr/>
        <w:t>June </w:t>
      </w:r>
      <w:r>
        <w:rPr>
          <w:spacing w:val="-2"/>
        </w:rPr>
        <w:t>2006.</w:t>
      </w:r>
    </w:p>
    <w:p>
      <w:pPr>
        <w:pStyle w:val="BodyText"/>
        <w:tabs>
          <w:tab w:pos="2199" w:val="left" w:leader="none"/>
        </w:tabs>
        <w:spacing w:line="232" w:lineRule="auto"/>
        <w:ind w:left="2200" w:right="559" w:hanging="1680"/>
      </w:pPr>
      <w:r>
        <w:rPr>
          <w:spacing w:val="-2"/>
        </w:rPr>
        <w:t>[X.511]</w:t>
      </w:r>
      <w:r>
        <w:rPr/>
        <w:tab/>
        <w:t>International Telecommunication Union - Telecommunication Standardization Sector, "The Directory:</w:t>
      </w:r>
      <w:r>
        <w:rPr>
          <w:spacing w:val="-11"/>
        </w:rPr>
        <w:t> </w:t>
      </w:r>
      <w:r>
        <w:rPr/>
        <w:t>Abstract</w:t>
      </w:r>
      <w:r>
        <w:rPr>
          <w:spacing w:val="-11"/>
        </w:rPr>
        <w:t> </w:t>
      </w:r>
      <w:r>
        <w:rPr/>
        <w:t>Service</w:t>
      </w:r>
      <w:r>
        <w:rPr>
          <w:spacing w:val="-11"/>
        </w:rPr>
        <w:t> </w:t>
      </w:r>
      <w:r>
        <w:rPr/>
        <w:t>Definition",</w:t>
      </w:r>
      <w:r>
        <w:rPr>
          <w:spacing w:val="-11"/>
        </w:rPr>
        <w:t> </w:t>
      </w:r>
      <w:r>
        <w:rPr/>
        <w:t>X.511(1993) (also ISO/IEC 9594-3:1993).</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10">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1">
        <w:r>
          <w:rPr>
            <w:spacing w:val="-2"/>
          </w:rPr>
          <w:t>http://www.ietf.org/ipr</w:t>
        </w:r>
      </w:hyperlink>
      <w:r>
        <w:rPr>
          <w:spacing w:val="-2"/>
        </w:rPr>
        <w:t>.</w:t>
      </w:r>
    </w:p>
    <w:p>
      <w:pPr>
        <w:pStyle w:val="BodyText"/>
        <w:spacing w:line="232" w:lineRule="auto" w:before="222"/>
        <w:ind w:right="43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2">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83904">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32576"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84416">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32064"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84928">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31552"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86976">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29504"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87488">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28992"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88000">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28480"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485440">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4527</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31040" type="#_x0000_t202" id="docshape4" filled="false" stroked="false">
              <v:textbox inset="0,0,0,0">
                <w:txbxContent>
                  <w:p>
                    <w:pPr>
                      <w:pStyle w:val="BodyText"/>
                      <w:spacing w:before="20"/>
                      <w:ind w:left="20"/>
                    </w:pPr>
                    <w:r>
                      <w:rPr/>
                      <w:t>RFC</w:t>
                    </w:r>
                    <w:r>
                      <w:rPr>
                        <w:spacing w:val="-3"/>
                      </w:rPr>
                      <w:t> </w:t>
                    </w:r>
                    <w:r>
                      <w:rPr>
                        <w:spacing w:val="-4"/>
                      </w:rPr>
                      <w:t>4527</w:t>
                    </w:r>
                  </w:p>
                </w:txbxContent>
              </v:textbox>
              <w10:wrap type="none"/>
            </v:shape>
          </w:pict>
        </mc:Fallback>
      </mc:AlternateContent>
    </w:r>
    <w:r>
      <w:rPr/>
      <mc:AlternateContent>
        <mc:Choice Requires="wps">
          <w:drawing>
            <wp:anchor distT="0" distB="0" distL="0" distR="0" allowOverlap="1" layoutInCell="1" locked="0" behindDoc="1" simplePos="0" relativeHeight="487485952">
              <wp:simplePos x="0" y="0"/>
              <wp:positionH relativeFrom="page">
                <wp:posOffset>2832100</wp:posOffset>
              </wp:positionH>
              <wp:positionV relativeFrom="page">
                <wp:posOffset>491170</wp:posOffset>
              </wp:positionV>
              <wp:extent cx="18542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54200" cy="169545"/>
                      </a:xfrm>
                      <a:prstGeom prst="rect">
                        <a:avLst/>
                      </a:prstGeom>
                    </wps:spPr>
                    <wps:txbx>
                      <w:txbxContent>
                        <w:p>
                          <w:pPr>
                            <w:pStyle w:val="BodyText"/>
                            <w:spacing w:before="20"/>
                            <w:ind w:left="20"/>
                          </w:pPr>
                          <w:r>
                            <w:rPr/>
                            <w:t>LDAP</w:t>
                          </w:r>
                          <w:r>
                            <w:rPr>
                              <w:spacing w:val="-5"/>
                            </w:rPr>
                            <w:t> </w:t>
                          </w:r>
                          <w:r>
                            <w:rPr/>
                            <w:t>Read</w:t>
                          </w:r>
                          <w:r>
                            <w:rPr>
                              <w:spacing w:val="-4"/>
                            </w:rPr>
                            <w:t> </w:t>
                          </w:r>
                          <w:r>
                            <w:rPr/>
                            <w:t>Entry</w:t>
                          </w:r>
                          <w:r>
                            <w:rPr>
                              <w:spacing w:val="-4"/>
                            </w:rPr>
                            <w:t> </w:t>
                          </w:r>
                          <w:r>
                            <w:rPr>
                              <w:spacing w:val="-2"/>
                            </w:rPr>
                            <w:t>Controls</w:t>
                          </w:r>
                        </w:p>
                      </w:txbxContent>
                    </wps:txbx>
                    <wps:bodyPr wrap="square" lIns="0" tIns="0" rIns="0" bIns="0" rtlCol="0">
                      <a:noAutofit/>
                    </wps:bodyPr>
                  </wps:wsp>
                </a:graphicData>
              </a:graphic>
            </wp:anchor>
          </w:drawing>
        </mc:Choice>
        <mc:Fallback>
          <w:pict>
            <v:shape style="position:absolute;margin-left:223pt;margin-top:38.674805pt;width:146pt;height:13.35pt;mso-position-horizontal-relative:page;mso-position-vertical-relative:page;z-index:-15830528" type="#_x0000_t202" id="docshape5" filled="false" stroked="false">
              <v:textbox inset="0,0,0,0">
                <w:txbxContent>
                  <w:p>
                    <w:pPr>
                      <w:pStyle w:val="BodyText"/>
                      <w:spacing w:before="20"/>
                      <w:ind w:left="20"/>
                    </w:pPr>
                    <w:r>
                      <w:rPr/>
                      <w:t>LDAP</w:t>
                    </w:r>
                    <w:r>
                      <w:rPr>
                        <w:spacing w:val="-5"/>
                      </w:rPr>
                      <w:t> </w:t>
                    </w:r>
                    <w:r>
                      <w:rPr/>
                      <w:t>Read</w:t>
                    </w:r>
                    <w:r>
                      <w:rPr>
                        <w:spacing w:val="-4"/>
                      </w:rPr>
                      <w:t> </w:t>
                    </w:r>
                    <w:r>
                      <w:rPr/>
                      <w:t>Entry</w:t>
                    </w:r>
                    <w:r>
                      <w:rPr>
                        <w:spacing w:val="-4"/>
                      </w:rPr>
                      <w:t> </w:t>
                    </w:r>
                    <w:r>
                      <w:rPr>
                        <w:spacing w:val="-2"/>
                      </w:rPr>
                      <w:t>Controls</w:t>
                    </w:r>
                  </w:p>
                </w:txbxContent>
              </v:textbox>
              <w10:wrap type="none"/>
            </v:shape>
          </w:pict>
        </mc:Fallback>
      </mc:AlternateContent>
    </w:r>
    <w:r>
      <w:rPr/>
      <mc:AlternateContent>
        <mc:Choice Requires="wps">
          <w:drawing>
            <wp:anchor distT="0" distB="0" distL="0" distR="0" allowOverlap="1" layoutInCell="1" locked="0" behindDoc="1" simplePos="0" relativeHeight="487486464">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30016"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878" w:hanging="35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mailto:kurt@openldap.org" TargetMode="External"/><Relationship Id="rId10" Type="http://schemas.openxmlformats.org/officeDocument/2006/relationships/hyperlink" Target="mailto:Kurt@OpenLDAP.org" TargetMode="External"/><Relationship Id="rId11" Type="http://schemas.openxmlformats.org/officeDocument/2006/relationships/hyperlink" Target="http://www.ietf.org/ipr" TargetMode="External"/><Relationship Id="rId12" Type="http://schemas.openxmlformats.org/officeDocument/2006/relationships/hyperlink" Target="mailto:ietf-ipr@ietf.or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2026-01-19T03:25:56Z</dcterms:created>
  <dcterms:modified xsi:type="dcterms:W3CDTF">2026-01-19T03:25:56Z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