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Case Study: Authentication Methods Migration</w:t>
      </w:r>
    </w:p>
    <w:p>
      <w:pPr>
        <w:pBdr>
          <w:bottom w:val="single" w:color="2E75B6" w:sz="6" w:space="6"/>
        </w:pBdr>
        <w:spacing w:after="200"/>
        <w:jc w:val="center"/>
      </w:pPr>
      <w:r>
        <w:rPr>
          <w:color w:val="2E75B6"/>
          <w:sz w:val="20"/>
          <w:szCs w:val="20"/>
        </w:rPr>
        <w:t xml:space="preserve">How a Testing Methodology and Test Environments Would Have Changed the Outcome</w:t>
      </w:r>
    </w:p>
    <w:p>
      <w:pPr>
        <w:pStyle w:val="Heading1"/>
      </w:pPr>
      <w:r>
        <w:t xml:space="preserve">What Happened</w:t>
      </w:r>
    </w:p>
    <w:p>
      <w:pPr>
        <w:spacing w:after="120"/>
      </w:pPr>
      <w:r>
        <w:t xml:space="preserve">On January 28, 2026, the IAM team executed the migration from ADFS federation to Entra ID native authentication with Cisco Duo configured as an External Authentication Method. This was an Enterprise-scope change affecting over 72,000 user accounts across all three UNT System institutions. The migration was completed successfully, but the team encountered significant undocumented issues that had to be diagnosed and resolved in production.</w:t>
      </w:r>
    </w:p>
    <w:p>
      <w:pPr>
        <w:pStyle w:val="Heading1"/>
      </w:pPr>
      <w:r>
        <w:t xml:space="preserve">Issues Encountered in Production</w:t>
      </w:r>
    </w:p>
    <w:p>
      <w:pPr>
        <w:pStyle w:val="ListParagraph"/>
        <w:numPr>
          <w:ilvl w:val="0"/>
          <w:numId w:val="2"/>
        </w:numPr>
        <w:spacing w:after="60"/>
      </w:pPr>
      <w:r>
        <w:rPr>
          <w:b/>
          <w:bCs/>
        </w:rPr>
        <w:t xml:space="preserve">Orphaned authentication registrations. </w:t>
      </w:r>
      <w:r>
        <w:t xml:space="preserve">Deleting an External Authentication Method configuration does not remove the corresponding registrations from individual user objects. This behavior was documented by neither Microsoft nor Cisco Duo. The IAM team had to build custom PowerShell scripts to scan and clean up all 72,274 user accounts.</w:t>
      </w:r>
    </w:p>
    <w:p>
      <w:pPr>
        <w:pStyle w:val="ListParagraph"/>
        <w:numPr>
          <w:ilvl w:val="0"/>
          <w:numId w:val="2"/>
        </w:numPr>
        <w:spacing w:after="60"/>
      </w:pPr>
      <w:r>
        <w:rPr>
          <w:b/>
          <w:bCs/>
        </w:rPr>
        <w:t xml:space="preserve">Authentication strength propagation delays. </w:t>
      </w:r>
      <w:r>
        <w:t xml:space="preserve">After updating authentication strength requirements for administrator roles, the changes took longer than expected to take effect. Administrators experienced unexpected MFA prompts for Microsoft Authenticator despite the policy specifying Duo as the required method.</w:t>
      </w:r>
    </w:p>
    <w:p>
      <w:pPr>
        <w:pStyle w:val="ListParagraph"/>
        <w:numPr>
          <w:ilvl w:val="0"/>
          <w:numId w:val="2"/>
        </w:numPr>
        <w:spacing w:after="60"/>
      </w:pPr>
      <w:r>
        <w:rPr>
          <w:b/>
          <w:bCs/>
        </w:rPr>
        <w:t xml:space="preserve">No pre-migration user audit guidance. </w:t>
      </w:r>
      <w:r>
        <w:t xml:space="preserve">Microsoft’s migration documentation addresses tenant-level policy settings but does not mention auditing or preparing user-level authentication method registrations. The disconnect between policy state and user object state was the root cause of the orphaned registrations.</w:t>
      </w:r>
    </w:p>
    <w:p>
      <w:pPr>
        <w:pStyle w:val="ListParagraph"/>
        <w:numPr>
          <w:ilvl w:val="0"/>
          <w:numId w:val="2"/>
        </w:numPr>
        <w:spacing w:after="60"/>
      </w:pPr>
      <w:r>
        <w:rPr>
          <w:b/>
          <w:bCs/>
        </w:rPr>
        <w:t xml:space="preserve">Undocumented deletion behavior. </w:t>
      </w:r>
      <w:r>
        <w:t xml:space="preserve">The Duo documentation provides detailed instructions for creating an External Authentication Method but offers no guidance on what happens when one is deleted, or on the cleanup required afterward.</w:t>
      </w:r>
    </w:p>
    <w:p>
      <w:pPr>
        <w:pStyle w:val="Heading1"/>
      </w:pPr>
      <w:r>
        <w:t xml:space="preserve">With a Testing Methodology</w:t>
      </w:r>
    </w:p>
    <w:p>
      <w:pPr>
        <w:spacing w:after="120"/>
      </w:pPr>
      <w:r>
        <w:t xml:space="preserve">Under the proposed IAM Testing Methodology, this change would have been classified as Enterprise scope, requiring all testing phases including a production pilot. The test plan would have included:</w:t>
      </w:r>
    </w:p>
    <w:p>
      <w:pPr>
        <w:pStyle w:val="ListParagraph"/>
        <w:numPr>
          <w:ilvl w:val="0"/>
          <w:numId w:val="3"/>
        </w:numPr>
        <w:spacing w:after="60"/>
      </w:pPr>
      <w:r>
        <w:rPr>
          <w:b/>
          <w:bCs/>
        </w:rPr>
        <w:t xml:space="preserve">Pre-migration user audit. </w:t>
      </w:r>
      <w:r>
        <w:t xml:space="preserve">A scan of user authentication method registrations in the staging tenant before migration would have revealed the relationship between the External Authentication Method configuration and user-level registrations—and what happens when that configuration is deleted.</w:t>
      </w:r>
    </w:p>
    <w:p>
      <w:pPr>
        <w:pStyle w:val="ListParagraph"/>
        <w:numPr>
          <w:ilvl w:val="0"/>
          <w:numId w:val="3"/>
        </w:numPr>
        <w:spacing w:after="60"/>
      </w:pPr>
      <w:r>
        <w:rPr>
          <w:b/>
          <w:bCs/>
        </w:rPr>
        <w:t xml:space="preserve">Functional testing of the full lifecycle. </w:t>
      </w:r>
      <w:r>
        <w:t xml:space="preserve">Testing would not have stopped at “Duo works for authentication.” It would have included creating, modifying, and deleting the External Authentication Method configuration to validate the complete lifecycle, exposing the orphaned registration issue before production.</w:t>
      </w:r>
    </w:p>
    <w:p>
      <w:pPr>
        <w:pStyle w:val="ListParagraph"/>
        <w:numPr>
          <w:ilvl w:val="0"/>
          <w:numId w:val="3"/>
        </w:numPr>
        <w:spacing w:after="60"/>
      </w:pPr>
      <w:r>
        <w:rPr>
          <w:b/>
          <w:bCs/>
        </w:rPr>
        <w:t xml:space="preserve">Regression testing across authentication flows. </w:t>
      </w:r>
      <w:r>
        <w:t xml:space="preserve">Structured regression testing would have verified that administrator MFA prompts, authentication strengths, and Conditional Access policies all behaved as expected after the change, catching the propagation timing issue.</w:t>
      </w:r>
    </w:p>
    <w:p>
      <w:pPr>
        <w:pStyle w:val="ListParagraph"/>
        <w:numPr>
          <w:ilvl w:val="0"/>
          <w:numId w:val="3"/>
        </w:numPr>
        <w:spacing w:after="60"/>
      </w:pPr>
      <w:r>
        <w:rPr>
          <w:b/>
          <w:bCs/>
        </w:rPr>
        <w:t xml:space="preserve">Pilot deployment with 500–1,000 users. </w:t>
      </w:r>
      <w:r>
        <w:t xml:space="preserve">A production pilot group spanning all institutions would have provided early warning of any user-facing issues in a controlled population before the full 72,000-user cutover.</w:t>
      </w:r>
    </w:p>
    <w:p>
      <w:pPr>
        <w:pStyle w:val="Heading1"/>
      </w:pPr>
      <w:r>
        <w:t xml:space="preserve">With Dedicated Test Environments</w:t>
      </w:r>
    </w:p>
    <w:p>
      <w:pPr>
        <w:spacing w:after="120"/>
      </w:pPr>
      <w:r>
        <w:t xml:space="preserve">The proposed three-tenant model would have provided the infrastructure to execute the test plan safely:</w:t>
      </w:r>
    </w:p>
    <w:p>
      <w:pPr>
        <w:pStyle w:val="ListParagraph"/>
        <w:numPr>
          <w:ilvl w:val="0"/>
          <w:numId w:val="4"/>
        </w:numPr>
        <w:spacing w:after="60"/>
      </w:pPr>
      <w:r>
        <w:rPr>
          <w:b/>
          <w:bCs/>
        </w:rPr>
        <w:t xml:space="preserve">Staging tenant (myunttest): </w:t>
      </w:r>
      <w:r>
        <w:t xml:space="preserve">The IAM team would have executed the entire migration end-to-end in the staging tenant first—including the de-federation, Duo EAM configuration, user authentication method registration, deletion, and cleanup—with 1,000 test users. Every issue encountered in production on January 28th would have been discovered here instead.</w:t>
      </w:r>
    </w:p>
    <w:p>
      <w:pPr>
        <w:pStyle w:val="ListParagraph"/>
        <w:numPr>
          <w:ilvl w:val="0"/>
          <w:numId w:val="4"/>
        </w:numPr>
        <w:spacing w:after="60"/>
      </w:pPr>
      <w:r>
        <w:rPr>
          <w:b/>
          <w:bCs/>
        </w:rPr>
        <w:t xml:space="preserve">Greenfield tenant (myuntsrc): </w:t>
      </w:r>
      <w:r>
        <w:t xml:space="preserve">The team would have compared the staging tenant’s post-migration state against the greenfield baseline to confirm that no unexpected configuration artifacts remained. This would have provided confidence that the migration produced a clean, known state rather than relying on incomplete vendor documentation.</w:t>
      </w:r>
    </w:p>
    <w:p>
      <w:pPr>
        <w:pStyle w:val="Heading1"/>
      </w:pPr>
      <w:r>
        <w:t xml:space="preserve">The Difference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
            </w:r>
          </w:p>
        </w:tc>
        <w:tc>
          <w:tcPr>
            <w:tcW w:type="dxa" w:w="3360"/>
            <w:tcBorders>
              <w:top w:val="single" w:color="CCCCCC" w:sz="1"/>
              <w:left w:val="single" w:color="CCCCCC" w:sz="1"/>
              <w:bottom w:val="single" w:color="CCCCCC" w:sz="1"/>
              <w:right w:val="single" w:color="CCCCCC" w:sz="1"/>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What Happened</w:t>
            </w:r>
          </w:p>
        </w:tc>
        <w:tc>
          <w:tcPr>
            <w:tcW w:type="dxa" w:w="3360"/>
            <w:tcBorders>
              <w:top w:val="single" w:color="CCCCCC" w:sz="1"/>
              <w:left w:val="single" w:color="CCCCCC" w:sz="1"/>
              <w:bottom w:val="single" w:color="CCCCCC" w:sz="1"/>
              <w:right w:val="single" w:color="CCCCCC" w:sz="1"/>
            </w:tcBorders>
            <w:shd w:fill="1F3864" w:color="auto"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What Could Have Happened</w:t>
            </w:r>
          </w:p>
        </w:tc>
      </w:tr>
      <w:tr>
        <w:tc>
          <w:tcPr>
            <w:tcW w:type="dxa" w:w="3360"/>
            <w:tcBorders>
              <w:top w:val="single" w:color="CCCCCC" w:sz="1"/>
              <w:left w:val="single" w:color="CCCCCC" w:sz="1"/>
              <w:bottom w:val="single" w:color="CCCCCC" w:sz="1"/>
              <w:right w:val="single" w:color="CCCCCC" w:sz="1"/>
            </w:tcBorders>
            <w:shd w:fill="F2F2F2" w:color="auto" w:val="clear"/>
            <w:tcMar>
              <w:top w:type="dxa" w:w="60"/>
              <w:left w:type="dxa" w:w="100"/>
              <w:bottom w:type="dxa" w:w="60"/>
              <w:right w:type="dxa" w:w="100"/>
            </w:tcMar>
          </w:tcPr>
          <w:p>
            <w:pPr>
              <w:spacing w:after="0"/>
            </w:pPr>
            <w:r>
              <w:rPr>
                <w:b/>
                <w:bCs/>
                <w:sz w:val="18"/>
                <w:szCs w:val="18"/>
              </w:rPr>
              <w:t xml:space="preserve">Where issues were found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Production, affecting all users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Staging tenant, affecting no users</w:t>
            </w:r>
          </w:p>
        </w:tc>
      </w:tr>
      <w:tr>
        <w:tc>
          <w:tcPr>
            <w:tcW w:type="dxa" w:w="3360"/>
            <w:tcBorders>
              <w:top w:val="single" w:color="CCCCCC" w:sz="1"/>
              <w:left w:val="single" w:color="CCCCCC" w:sz="1"/>
              <w:bottom w:val="single" w:color="CCCCCC" w:sz="1"/>
              <w:right w:val="single" w:color="CCCCCC" w:sz="1"/>
            </w:tcBorders>
            <w:shd w:fill="F2F2F2" w:color="auto" w:val="clear"/>
            <w:tcMar>
              <w:top w:type="dxa" w:w="60"/>
              <w:left w:type="dxa" w:w="100"/>
              <w:bottom w:type="dxa" w:w="60"/>
              <w:right w:type="dxa" w:w="100"/>
            </w:tcMar>
          </w:tcPr>
          <w:p>
            <w:pPr>
              <w:spacing w:after="0"/>
            </w:pPr>
            <w:r>
              <w:rPr>
                <w:b/>
                <w:bCs/>
                <w:sz w:val="18"/>
                <w:szCs w:val="18"/>
              </w:rPr>
              <w:t xml:space="preserve">Orphaned registrations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Discovered after go-live; required emergency scripting to scan and clean 72,274 accounts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Discovered during functional testing of EAM deletion in staging; cleanup procedure documented before go-live</w:t>
            </w:r>
          </w:p>
        </w:tc>
      </w:tr>
      <w:tr>
        <w:tc>
          <w:tcPr>
            <w:tcW w:type="dxa" w:w="3360"/>
            <w:tcBorders>
              <w:top w:val="single" w:color="CCCCCC" w:sz="1"/>
              <w:left w:val="single" w:color="CCCCCC" w:sz="1"/>
              <w:bottom w:val="single" w:color="CCCCCC" w:sz="1"/>
              <w:right w:val="single" w:color="CCCCCC" w:sz="1"/>
            </w:tcBorders>
            <w:shd w:fill="F2F2F2" w:color="auto" w:val="clear"/>
            <w:tcMar>
              <w:top w:type="dxa" w:w="60"/>
              <w:left w:type="dxa" w:w="100"/>
              <w:bottom w:type="dxa" w:w="60"/>
              <w:right w:type="dxa" w:w="100"/>
            </w:tcMar>
          </w:tcPr>
          <w:p>
            <w:pPr>
              <w:spacing w:after="0"/>
            </w:pPr>
            <w:r>
              <w:rPr>
                <w:b/>
                <w:bCs/>
                <w:sz w:val="18"/>
                <w:szCs w:val="18"/>
              </w:rPr>
              <w:t xml:space="preserve">Admin MFA prompts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Reported by administrators after cutover; required investigation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Identified during regression testing; propagation timing documented in rollout plan</w:t>
            </w:r>
          </w:p>
        </w:tc>
      </w:tr>
      <w:tr>
        <w:tc>
          <w:tcPr>
            <w:tcW w:type="dxa" w:w="3360"/>
            <w:tcBorders>
              <w:top w:val="single" w:color="CCCCCC" w:sz="1"/>
              <w:left w:val="single" w:color="CCCCCC" w:sz="1"/>
              <w:bottom w:val="single" w:color="CCCCCC" w:sz="1"/>
              <w:right w:val="single" w:color="CCCCCC" w:sz="1"/>
            </w:tcBorders>
            <w:shd w:fill="F2F2F2" w:color="auto" w:val="clear"/>
            <w:tcMar>
              <w:top w:type="dxa" w:w="60"/>
              <w:left w:type="dxa" w:w="100"/>
              <w:bottom w:type="dxa" w:w="60"/>
              <w:right w:type="dxa" w:w="100"/>
            </w:tcMar>
          </w:tcPr>
          <w:p>
            <w:pPr>
              <w:spacing w:after="0"/>
            </w:pPr>
            <w:r>
              <w:rPr>
                <w:b/>
                <w:bCs/>
                <w:sz w:val="18"/>
                <w:szCs w:val="18"/>
              </w:rPr>
              <w:t xml:space="preserve">User disruption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Authentication issues experienced by production users during remediation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sz w:val="18"/>
                <w:szCs w:val="18"/>
              </w:rPr>
              <w:t xml:space="preserve">No production impact; all issues resolved before deployment</w:t>
            </w:r>
          </w:p>
        </w:tc>
      </w:tr>
    </w:tbl>
    <w:p>
      <w:pPr>
        <w:spacing w:after="80"/>
      </w:pPr>
    </w:p>
    <w:p>
      <w:pPr>
        <w:spacing w:after="120"/>
      </w:pPr>
      <w:r>
        <w:t xml:space="preserve">The IAM team resolved every issue. The tools, scripts, and procedures developed during the migration are now part of the team’s operational toolkit. But the cost was measured in engineering hours, production risk, and user disruption that a testing methodology and dedicated test environments would have prevented. As the university continues to migrate services to Entra ID over the next four years, this pattern will repeat with every major project—unless we invest in the process and infrastructure to break the cycle.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3"/>
      </w:pBdr>
      <w:tabs>
        <w:tab w:val="right" w:pos="9026"/>
      </w:tabs>
    </w:pPr>
    <w:r>
      <w:rPr>
        <w:color w:val="808080"/>
        <w:sz w:val="14"/>
        <w:szCs w:val="14"/>
      </w:rPr>
      <w:t xml:space="preserve">Jack Stewart, IAM Engineer — February 2026</w:t>
    </w:r>
    <w:r>
      <w:rPr>
        <w:color w:val="808080"/>
        <w:sz w:val="14"/>
        <w:szCs w:val="14"/>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3"/>
      </w:pBdr>
    </w:pPr>
    <w:r>
      <w:rPr>
        <w:rFonts w:ascii="Arial" w:cs="Arial" w:eastAsia="Arial" w:hAnsi="Arial"/>
        <w:color w:val="808080"/>
        <w:sz w:val="14"/>
        <w:szCs w:val="14"/>
      </w:rPr>
      <w:t xml:space="preserve">UNT System IAM —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bullet"/>
      <w:lvlText w:val="•"/>
      <w:lvlJc w:val="left"/>
      <w:pPr>
        <w:ind w:left="540" w:hanging="270"/>
      </w:pPr>
    </w:lvl>
  </w:abstractNum>
  <w:abstractNum w:abstractNumId="5" w15:restartNumberingAfterBreak="0">
    <w:multiLevelType w:val="hybridMultilevel"/>
    <w:lvl w:ilvl="0" w15:tentative="1">
      <w:start w:val="1"/>
      <w:numFmt w:val="bullet"/>
      <w:lvlText w:val="•"/>
      <w:lvlJc w:val="left"/>
      <w:pPr>
        <w:ind w:left="540" w:hanging="270"/>
      </w:pPr>
    </w:lvl>
  </w:abstractNum>
  <w:abstractNum w:abstractNumId="6" w15:restartNumberingAfterBreak="0">
    <w:multiLevelType w:val="hybridMultilevel"/>
    <w:lvl w:ilvl="0" w15:tentative="1">
      <w:start w:val="1"/>
      <w:numFmt w:val="bullet"/>
      <w:lvlText w:val="•"/>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160" w:after="8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2026-02-14T01:07:50.249Z</dcterms:created>
  <dcterms:modified xsi:type="dcterms:W3CDTF">2026-02-14T01:07:50.249Z</dcterms:modified>
</cp:coreProperties>
</file>

<file path=docProps/custom.xml><?xml version="1.0" encoding="utf-8"?>
<Properties xmlns="http://schemas.openxmlformats.org/officeDocument/2006/custom-properties" xmlns:vt="http://schemas.openxmlformats.org/officeDocument/2006/docPropsVTypes"/>
</file>