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28"/>
        <w:gridCol w:w="1528"/>
        <w:gridCol w:w="7769"/>
      </w:tblGrid>
      <w:tr w:rsidR="00C572D4" w:rsidRPr="00CB1D90" w14:paraId="4DBB69B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21A6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Post ID#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B97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36236" w14:textId="77777777" w:rsidR="00C572D4" w:rsidRPr="00CB1D90" w:rsidRDefault="00C572D4" w:rsidP="00CB1D90">
            <w:pPr>
              <w:ind w:right="1087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Title (link to post)</w:t>
            </w:r>
          </w:p>
        </w:tc>
      </w:tr>
      <w:tr w:rsidR="00C572D4" w:rsidRPr="00CB1D90" w14:paraId="05F2A82C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45360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49F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61A5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5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Of property</w:t>
              </w:r>
            </w:hyperlink>
          </w:p>
        </w:tc>
      </w:tr>
      <w:tr w:rsidR="00C572D4" w:rsidRPr="00CB1D90" w14:paraId="7A5E3D8A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A606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FCA9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Kiza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CFCA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6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Organisms as ecosystem engineers</w:t>
              </w:r>
            </w:hyperlink>
          </w:p>
        </w:tc>
      </w:tr>
      <w:tr w:rsidR="00C572D4" w:rsidRPr="00CB1D90" w14:paraId="6D2F002B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BCA1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06F5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Asa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A67E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7" w:history="1"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Diachronous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 Beginnings of the Anthropocene: The Lower Bounding Surface of Anthropogenic Deposits</w:t>
              </w:r>
            </w:hyperlink>
          </w:p>
        </w:tc>
      </w:tr>
      <w:tr w:rsidR="00C572D4" w:rsidRPr="00CB1D90" w14:paraId="278F5262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66E01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E3EC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9A1E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8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Building 'Equitable' Urban Resilience: The Challenge for Cities</w:t>
              </w:r>
            </w:hyperlink>
          </w:p>
        </w:tc>
      </w:tr>
      <w:tr w:rsidR="00C572D4" w:rsidRPr="00CB1D90" w14:paraId="25982DA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839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F51E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4DF9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9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Principles of </w:t>
              </w:r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Tsawalk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: An Indigenous Approach to Global Crisis</w:t>
              </w:r>
            </w:hyperlink>
          </w:p>
        </w:tc>
      </w:tr>
      <w:tr w:rsidR="00C572D4" w:rsidRPr="00CB1D90" w14:paraId="49F0CCD1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B9A6F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747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811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0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Loess: The Yellow Earth</w:t>
              </w:r>
            </w:hyperlink>
          </w:p>
        </w:tc>
      </w:tr>
      <w:tr w:rsidR="00C572D4" w:rsidRPr="00CB1D90" w14:paraId="1942A610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E4332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A3C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5E6F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1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“Concluding Remarks” on Animal Ecology and Demography</w:t>
              </w:r>
            </w:hyperlink>
          </w:p>
        </w:tc>
      </w:tr>
      <w:tr w:rsidR="00C572D4" w:rsidRPr="00CB1D90" w14:paraId="31E5582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97035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42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Antonio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80F7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2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 Safe Operating Space for Humanity</w:t>
              </w:r>
            </w:hyperlink>
          </w:p>
        </w:tc>
      </w:tr>
      <w:tr w:rsidR="00C572D4" w:rsidRPr="00CB1D90" w14:paraId="733EDE5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4850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066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90DB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3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Toward an Ethics of Niche Construction</w:t>
              </w:r>
            </w:hyperlink>
          </w:p>
        </w:tc>
      </w:tr>
      <w:tr w:rsidR="00C572D4" w:rsidRPr="00CB1D90" w14:paraId="0E6BFF96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3FBE8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C088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Kiza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05A9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4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Implications of Manufacturing Habitability</w:t>
              </w:r>
            </w:hyperlink>
          </w:p>
        </w:tc>
      </w:tr>
      <w:tr w:rsidR="00C572D4" w:rsidRPr="00CB1D90" w14:paraId="56982679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8D3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E803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66D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5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Advancing Equity and Going Beyond Basic Survival</w:t>
              </w:r>
            </w:hyperlink>
          </w:p>
        </w:tc>
      </w:tr>
      <w:tr w:rsidR="00C572D4" w:rsidRPr="00CB1D90" w14:paraId="091E1F4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8D69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F2A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5559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6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Memes as a Dimension of the Human Niche</w:t>
              </w:r>
            </w:hyperlink>
          </w:p>
        </w:tc>
      </w:tr>
      <w:tr w:rsidR="00C572D4" w:rsidRPr="00CB1D90" w14:paraId="646730F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1FE57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47DD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Asa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795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7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Habitability's Non-Inevitability</w:t>
              </w:r>
            </w:hyperlink>
          </w:p>
        </w:tc>
      </w:tr>
      <w:tr w:rsidR="00C572D4" w:rsidRPr="00CB1D90" w14:paraId="38F573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F4D2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929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Antonio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790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8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Habitability as a commons: Fearing a tragedy of human(</w:t>
              </w:r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ized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) nature</w:t>
              </w:r>
            </w:hyperlink>
          </w:p>
        </w:tc>
      </w:tr>
      <w:tr w:rsidR="00C572D4" w:rsidRPr="00CB1D90" w14:paraId="2AA9A9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D008A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770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A5B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9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Toward a More Than Human Anthropocene </w:t>
              </w:r>
            </w:hyperlink>
          </w:p>
        </w:tc>
      </w:tr>
      <w:tr w:rsidR="00C572D4" w:rsidRPr="00CB1D90" w14:paraId="18EFFCA8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89DA3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5E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A1AB" w14:textId="77777777" w:rsidR="00C572D4" w:rsidRPr="00CB1D90" w:rsidRDefault="009B212D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20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The Dust of Civilization</w:t>
              </w:r>
            </w:hyperlink>
          </w:p>
        </w:tc>
      </w:tr>
    </w:tbl>
    <w:p w14:paraId="600281B6" w14:textId="77777777" w:rsidR="00FC05C9" w:rsidRDefault="00FC05C9" w:rsidP="00FC05C9">
      <w:pPr>
        <w:outlineLvl w:val="0"/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</w:p>
    <w:p w14:paraId="0E186578" w14:textId="1704CE18" w:rsidR="009448AB" w:rsidRDefault="009448AB">
      <w:pP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  <w: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  <w:br w:type="page"/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50"/>
      </w:tblGrid>
      <w:tr w:rsidR="008D49ED" w:rsidRPr="00CB1D90" w14:paraId="7C701BA2" w14:textId="77777777" w:rsidTr="00A65F4A">
        <w:trPr>
          <w:trHeight w:val="159"/>
        </w:trPr>
        <w:tc>
          <w:tcPr>
            <w:tcW w:w="1890" w:type="dxa"/>
          </w:tcPr>
          <w:p w14:paraId="5B370DD0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lastRenderedPageBreak/>
              <w:t>Author</w:t>
            </w:r>
          </w:p>
        </w:tc>
        <w:tc>
          <w:tcPr>
            <w:tcW w:w="8835" w:type="dxa"/>
            <w:gridSpan w:val="3"/>
          </w:tcPr>
          <w:p w14:paraId="6A19D793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Zev</w:t>
            </w:r>
          </w:p>
        </w:tc>
      </w:tr>
      <w:tr w:rsidR="008D49ED" w:rsidRPr="00CB1D90" w14:paraId="7671BDB6" w14:textId="77777777" w:rsidTr="00A65F4A">
        <w:trPr>
          <w:trHeight w:val="159"/>
        </w:trPr>
        <w:tc>
          <w:tcPr>
            <w:tcW w:w="1890" w:type="dxa"/>
          </w:tcPr>
          <w:p w14:paraId="73E11201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1C7CAFD2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5E10E6" w:rsidRPr="00CB1D90" w14:paraId="40CEB297" w14:textId="77777777" w:rsidTr="00A65F4A">
        <w:trPr>
          <w:trHeight w:val="159"/>
        </w:trPr>
        <w:tc>
          <w:tcPr>
            <w:tcW w:w="1890" w:type="dxa"/>
          </w:tcPr>
          <w:p w14:paraId="0487F8B1" w14:textId="77777777" w:rsidR="005E10E6" w:rsidRPr="00CB1D90" w:rsidRDefault="005E10E6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5B52BA64" w14:textId="77777777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055" w:type="dxa"/>
          </w:tcPr>
          <w:p w14:paraId="0FC57A61" w14:textId="25F48BDE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6F5C3E4B" w14:textId="3DCDAB68" w:rsidR="005E10E6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 =&gt; 1</w:t>
            </w:r>
          </w:p>
        </w:tc>
      </w:tr>
      <w:tr w:rsidR="008D49ED" w:rsidRPr="00CB1D90" w14:paraId="152C3B02" w14:textId="77777777" w:rsidTr="00A65F4A">
        <w:trPr>
          <w:trHeight w:val="159"/>
        </w:trPr>
        <w:tc>
          <w:tcPr>
            <w:tcW w:w="1890" w:type="dxa"/>
          </w:tcPr>
          <w:p w14:paraId="54A621B2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04679783" w14:textId="444DB374" w:rsidR="00C572D4" w:rsidRPr="00CB1D90" w:rsidRDefault="000541C7" w:rsidP="00A456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Lynn and I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both deal with the capacity of the Earth to be transformed by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human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agency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in order to afford habitation.</w:t>
            </w:r>
          </w:p>
        </w:tc>
      </w:tr>
      <w:tr w:rsidR="00A65F4A" w:rsidRPr="00CB1D90" w14:paraId="1120318A" w14:textId="77777777" w:rsidTr="00A65F4A">
        <w:trPr>
          <w:trHeight w:val="159"/>
        </w:trPr>
        <w:tc>
          <w:tcPr>
            <w:tcW w:w="1890" w:type="dxa"/>
          </w:tcPr>
          <w:p w14:paraId="5CE07AF7" w14:textId="7777777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4E17D132" w14:textId="121364C6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32</w:t>
            </w:r>
          </w:p>
        </w:tc>
        <w:tc>
          <w:tcPr>
            <w:tcW w:w="1055" w:type="dxa"/>
          </w:tcPr>
          <w:p w14:paraId="02C1520B" w14:textId="636DCAD0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2ADA3B43" w14:textId="335CC5A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=&gt; 32</w:t>
            </w:r>
          </w:p>
        </w:tc>
      </w:tr>
      <w:tr w:rsidR="008D49ED" w:rsidRPr="00CB1D90" w14:paraId="5ADC2075" w14:textId="77777777" w:rsidTr="00A65F4A">
        <w:trPr>
          <w:trHeight w:val="159"/>
        </w:trPr>
        <w:tc>
          <w:tcPr>
            <w:tcW w:w="1890" w:type="dxa"/>
          </w:tcPr>
          <w:p w14:paraId="1B193774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31711916" w14:textId="2EF446DD" w:rsidR="00C572D4" w:rsidRPr="00CB1D90" w:rsidRDefault="002262E4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Though </w:t>
            </w:r>
            <w:r w:rsidR="000541C7">
              <w:rPr>
                <w:rFonts w:asciiTheme="majorHAnsi" w:hAnsiTheme="majorHAnsi"/>
                <w:sz w:val="20"/>
                <w:szCs w:val="20"/>
              </w:rPr>
              <w:t>Noah and 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both deal with the idea that there are </w:t>
            </w:r>
            <w:r w:rsidRPr="000541C7">
              <w:rPr>
                <w:rFonts w:asciiTheme="majorHAnsi" w:hAnsiTheme="majorHAnsi"/>
                <w:i/>
                <w:sz w:val="20"/>
                <w:szCs w:val="20"/>
              </w:rPr>
              <w:t>moral limits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on human habitation practices, </w:t>
            </w:r>
            <w:r w:rsidR="0094203F">
              <w:rPr>
                <w:rFonts w:asciiTheme="majorHAnsi" w:hAnsiTheme="majorHAnsi"/>
                <w:sz w:val="20"/>
                <w:szCs w:val="20"/>
              </w:rPr>
              <w:t xml:space="preserve">I present an </w:t>
            </w:r>
            <w:r w:rsidR="000541C7">
              <w:rPr>
                <w:rFonts w:asciiTheme="majorHAnsi" w:hAnsiTheme="majorHAnsi"/>
                <w:sz w:val="20"/>
                <w:szCs w:val="20"/>
              </w:rPr>
              <w:t xml:space="preserve">anthropocentric </w:t>
            </w:r>
            <w:r w:rsidR="0094203F">
              <w:rPr>
                <w:rFonts w:asciiTheme="majorHAnsi" w:hAnsiTheme="majorHAnsi"/>
                <w:sz w:val="20"/>
                <w:szCs w:val="20"/>
              </w:rPr>
              <w:t>view of those limits while his view is a non-anthropocentric</w:t>
            </w:r>
            <w:r w:rsidR="000541C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D49ED" w:rsidRPr="00CB1D90" w14:paraId="1B118264" w14:textId="77777777" w:rsidTr="00A65F4A">
        <w:trPr>
          <w:trHeight w:val="159"/>
        </w:trPr>
        <w:tc>
          <w:tcPr>
            <w:tcW w:w="1890" w:type="dxa"/>
          </w:tcPr>
          <w:p w14:paraId="49D5FC93" w14:textId="5C77E812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3147659A" w14:textId="7094BFD6" w:rsidR="00C572D4" w:rsidRPr="00CB1D90" w:rsidRDefault="00A4564F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</w:tr>
      <w:tr w:rsidR="00A65F4A" w:rsidRPr="00CB1D90" w14:paraId="0B42A0AE" w14:textId="77777777" w:rsidTr="00A65F4A">
        <w:trPr>
          <w:trHeight w:val="159"/>
        </w:trPr>
        <w:tc>
          <w:tcPr>
            <w:tcW w:w="1890" w:type="dxa"/>
          </w:tcPr>
          <w:p w14:paraId="09C3E7B6" w14:textId="77A896E4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53C94476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055" w:type="dxa"/>
          </w:tcPr>
          <w:p w14:paraId="6B54513C" w14:textId="3B3D43C2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3B9CD921" w14:textId="210ECB87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=&gt; 25</w:t>
            </w:r>
          </w:p>
        </w:tc>
      </w:tr>
      <w:tr w:rsidR="008D49ED" w:rsidRPr="00CB1D90" w14:paraId="14435F57" w14:textId="77777777" w:rsidTr="00A65F4A">
        <w:trPr>
          <w:trHeight w:val="159"/>
        </w:trPr>
        <w:tc>
          <w:tcPr>
            <w:tcW w:w="1890" w:type="dxa"/>
          </w:tcPr>
          <w:p w14:paraId="161AF6F3" w14:textId="4279C1A3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2380838C" w14:textId="212754A6" w:rsidR="00C572D4" w:rsidRPr="00CB1D90" w:rsidRDefault="0094203F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My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normative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relies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on the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descriptive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Kiza provides to support the idea that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human agency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niche construction is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exceptional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65F4A" w:rsidRPr="00CB1D90" w14:paraId="6FFB7CA3" w14:textId="77777777" w:rsidTr="00A65F4A">
        <w:trPr>
          <w:trHeight w:val="159"/>
        </w:trPr>
        <w:tc>
          <w:tcPr>
            <w:tcW w:w="1890" w:type="dxa"/>
          </w:tcPr>
          <w:p w14:paraId="77AD3909" w14:textId="479E40F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54DC182F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</w:p>
        </w:tc>
        <w:tc>
          <w:tcPr>
            <w:tcW w:w="1055" w:type="dxa"/>
          </w:tcPr>
          <w:p w14:paraId="1A989EDD" w14:textId="385D4185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4B720375" w14:textId="091731E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8D49ED" w:rsidRPr="00CB1D90" w14:paraId="318EE2FC" w14:textId="77777777" w:rsidTr="00A65F4A">
        <w:trPr>
          <w:trHeight w:val="159"/>
        </w:trPr>
        <w:tc>
          <w:tcPr>
            <w:tcW w:w="1890" w:type="dxa"/>
          </w:tcPr>
          <w:p w14:paraId="1DE970F4" w14:textId="4767B4ED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1F9EFE4F" w14:textId="32B0FAEB" w:rsidR="00C572D4" w:rsidRPr="00CB1D9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Asa’s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contrasting (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interpretive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leads him to focus more on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complexity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history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habitation than do I.</w:t>
            </w:r>
          </w:p>
        </w:tc>
      </w:tr>
      <w:tr w:rsidR="008D49ED" w:rsidRPr="00CB1D90" w14:paraId="518C318C" w14:textId="77777777" w:rsidTr="00A65F4A">
        <w:trPr>
          <w:trHeight w:val="159"/>
        </w:trPr>
        <w:tc>
          <w:tcPr>
            <w:tcW w:w="1890" w:type="dxa"/>
          </w:tcPr>
          <w:p w14:paraId="5DCC4387" w14:textId="0A55969D" w:rsidR="00E64A30" w:rsidRPr="00CB1D90" w:rsidRDefault="00E64A30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35" w:type="dxa"/>
            <w:gridSpan w:val="3"/>
          </w:tcPr>
          <w:p w14:paraId="00477CD2" w14:textId="107FC33B" w:rsidR="00E64A3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</w:tr>
    </w:tbl>
    <w:p w14:paraId="51A69F8F" w14:textId="107158C5" w:rsidR="00C572D4" w:rsidRDefault="00C572D4" w:rsidP="00590421">
      <w:pPr>
        <w:rPr>
          <w:rFonts w:asciiTheme="majorHAnsi" w:hAnsiTheme="majorHAnsi"/>
          <w:sz w:val="20"/>
          <w:szCs w:val="20"/>
        </w:rPr>
      </w:pPr>
    </w:p>
    <w:p w14:paraId="6D3B2BF6" w14:textId="77777777" w:rsidR="009D46AF" w:rsidRDefault="009D46AF" w:rsidP="00590421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35"/>
      </w:tblGrid>
      <w:tr w:rsidR="008D49ED" w:rsidRPr="00CB1D90" w14:paraId="743539D2" w14:textId="77777777" w:rsidTr="00A65F4A">
        <w:trPr>
          <w:trHeight w:val="159"/>
        </w:trPr>
        <w:tc>
          <w:tcPr>
            <w:tcW w:w="1890" w:type="dxa"/>
          </w:tcPr>
          <w:p w14:paraId="6D431748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Author</w:t>
            </w:r>
          </w:p>
        </w:tc>
        <w:tc>
          <w:tcPr>
            <w:tcW w:w="8820" w:type="dxa"/>
            <w:gridSpan w:val="3"/>
          </w:tcPr>
          <w:p w14:paraId="41E11D7E" w14:textId="3411199C" w:rsidR="008D49ED" w:rsidRPr="00CB1D90" w:rsidRDefault="00DF0F6F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Meghan</w:t>
            </w:r>
          </w:p>
        </w:tc>
      </w:tr>
      <w:tr w:rsidR="008D49ED" w:rsidRPr="00CB1D90" w14:paraId="4751DD36" w14:textId="77777777" w:rsidTr="00A65F4A">
        <w:trPr>
          <w:trHeight w:val="159"/>
        </w:trPr>
        <w:tc>
          <w:tcPr>
            <w:tcW w:w="1890" w:type="dxa"/>
          </w:tcPr>
          <w:p w14:paraId="38F81F55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21D6C50A" w14:textId="0F105249" w:rsidR="008D49ED" w:rsidRPr="00CB1D90" w:rsidRDefault="00DF0F6F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</w:tr>
      <w:tr w:rsidR="00A65F4A" w:rsidRPr="00CB1D90" w14:paraId="05EC478E" w14:textId="77777777" w:rsidTr="00A65F4A">
        <w:trPr>
          <w:trHeight w:val="159"/>
        </w:trPr>
        <w:tc>
          <w:tcPr>
            <w:tcW w:w="1890" w:type="dxa"/>
          </w:tcPr>
          <w:p w14:paraId="13140A79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02E291F6" w14:textId="10D2CE04" w:rsidR="00A65F4A" w:rsidRPr="00CB1D90" w:rsidRDefault="00DF0F6F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1055" w:type="dxa"/>
          </w:tcPr>
          <w:p w14:paraId="49064137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1000B354" w14:textId="3E130777" w:rsidR="00A65F4A" w:rsidRPr="00CB1D90" w:rsidRDefault="00DF0F6F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  <w:r w:rsidRPr="00DF0F6F">
              <w:rPr>
                <w:rFonts w:asciiTheme="majorHAnsi" w:hAnsiTheme="majorHAnsi"/>
                <w:sz w:val="20"/>
                <w:szCs w:val="20"/>
              </w:rPr>
              <w:sym w:font="Wingdings" w:char="F0E0"/>
            </w:r>
            <w:r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</w:tr>
      <w:tr w:rsidR="008D49ED" w:rsidRPr="00CB1D90" w14:paraId="54D962B9" w14:textId="77777777" w:rsidTr="00A65F4A">
        <w:trPr>
          <w:trHeight w:val="159"/>
        </w:trPr>
        <w:tc>
          <w:tcPr>
            <w:tcW w:w="1890" w:type="dxa"/>
          </w:tcPr>
          <w:p w14:paraId="1DF6822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14ECA096" w14:textId="6DF415DE" w:rsidR="008D49ED" w:rsidRPr="00CB1D90" w:rsidRDefault="00DF0F6F" w:rsidP="009B21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Noah </w:t>
            </w:r>
            <w:r w:rsidR="0054732D">
              <w:rPr>
                <w:rFonts w:asciiTheme="majorHAnsi" w:hAnsiTheme="majorHAnsi"/>
                <w:sz w:val="20"/>
                <w:szCs w:val="20"/>
              </w:rPr>
              <w:t>leads a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n </w:t>
            </w:r>
            <w:r w:rsidR="009B212D" w:rsidRPr="009B212D">
              <w:rPr>
                <w:rFonts w:asciiTheme="majorHAnsi" w:hAnsiTheme="majorHAnsi"/>
                <w:i/>
                <w:sz w:val="20"/>
                <w:szCs w:val="20"/>
              </w:rPr>
              <w:t>interpretive</w:t>
            </w:r>
            <w:r w:rsidR="0054732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approach and </w:t>
            </w:r>
            <w:r w:rsidR="0054732D">
              <w:rPr>
                <w:rFonts w:asciiTheme="majorHAnsi" w:hAnsiTheme="majorHAnsi"/>
                <w:sz w:val="20"/>
                <w:szCs w:val="20"/>
              </w:rPr>
              <w:t xml:space="preserve">discussion on indigenous thought on connection to nature and highlights that global and human crises may be due in part to a lack of unity or balance with humans cultural and physically in the world.  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My </w:t>
            </w:r>
            <w:r w:rsidR="009B212D" w:rsidRPr="009B212D">
              <w:rPr>
                <w:rFonts w:asciiTheme="majorHAnsi" w:hAnsiTheme="majorHAnsi"/>
                <w:i/>
                <w:sz w:val="20"/>
                <w:szCs w:val="20"/>
              </w:rPr>
              <w:t>practical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 views from planning discuss b</w:t>
            </w:r>
            <w:r w:rsidR="0054732D">
              <w:rPr>
                <w:rFonts w:asciiTheme="majorHAnsi" w:hAnsiTheme="majorHAnsi"/>
                <w:sz w:val="20"/>
                <w:szCs w:val="20"/>
              </w:rPr>
              <w:t>uilding cities and settlements is or could be in large part a place for innovation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 and address equity</w:t>
            </w:r>
            <w:r w:rsidR="0054732D">
              <w:rPr>
                <w:rFonts w:asciiTheme="majorHAnsi" w:hAnsiTheme="majorHAnsi"/>
                <w:sz w:val="20"/>
                <w:szCs w:val="20"/>
              </w:rPr>
              <w:t xml:space="preserve"> where</w:t>
            </w:r>
            <w:r w:rsidR="009B212D">
              <w:rPr>
                <w:rFonts w:asciiTheme="majorHAnsi" w:hAnsiTheme="majorHAnsi"/>
                <w:sz w:val="20"/>
                <w:szCs w:val="20"/>
              </w:rPr>
              <w:t>by</w:t>
            </w:r>
            <w:r w:rsidR="0054732D">
              <w:rPr>
                <w:rFonts w:asciiTheme="majorHAnsi" w:hAnsiTheme="majorHAnsi"/>
                <w:sz w:val="20"/>
                <w:szCs w:val="20"/>
              </w:rPr>
              <w:t xml:space="preserve"> humans could recapture that balance</w:t>
            </w:r>
            <w:r w:rsidR="00DA1143">
              <w:rPr>
                <w:rFonts w:asciiTheme="majorHAnsi" w:hAnsiTheme="majorHAnsi"/>
                <w:sz w:val="20"/>
                <w:szCs w:val="20"/>
              </w:rPr>
              <w:t>, but in unexpected or technological ways.</w:t>
            </w:r>
          </w:p>
        </w:tc>
      </w:tr>
      <w:tr w:rsidR="00A65F4A" w:rsidRPr="00CB1D90" w14:paraId="78FEAE2F" w14:textId="77777777" w:rsidTr="00A65F4A">
        <w:trPr>
          <w:trHeight w:val="159"/>
        </w:trPr>
        <w:tc>
          <w:tcPr>
            <w:tcW w:w="1890" w:type="dxa"/>
          </w:tcPr>
          <w:p w14:paraId="2974BD97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7E9A17ED" w14:textId="023638F6" w:rsidR="00A65F4A" w:rsidRPr="00CB1D90" w:rsidRDefault="00DF0F6F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055" w:type="dxa"/>
          </w:tcPr>
          <w:p w14:paraId="7894E9A3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03D40CE0" w14:textId="04D5F9EC" w:rsidR="00A65F4A" w:rsidRPr="00CB1D90" w:rsidRDefault="00DF0F6F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Pr="00DF0F6F">
              <w:rPr>
                <w:rFonts w:asciiTheme="majorHAnsi" w:hAnsiTheme="majorHAnsi"/>
                <w:sz w:val="20"/>
                <w:szCs w:val="20"/>
              </w:rPr>
              <w:sym w:font="Wingdings" w:char="F0E0"/>
            </w:r>
            <w:r>
              <w:rPr>
                <w:rFonts w:asciiTheme="majorHAnsi" w:hAnsiTheme="majorHAnsi"/>
                <w:sz w:val="20"/>
                <w:szCs w:val="20"/>
              </w:rPr>
              <w:t>17</w:t>
            </w:r>
            <w:r w:rsidRPr="00DF0F6F">
              <w:rPr>
                <w:rFonts w:asciiTheme="majorHAnsi" w:hAnsiTheme="majorHAnsi"/>
                <w:sz w:val="20"/>
                <w:szCs w:val="20"/>
              </w:rPr>
              <w:sym w:font="Wingdings" w:char="F0E0"/>
            </w:r>
            <w:r>
              <w:rPr>
                <w:rFonts w:asciiTheme="majorHAnsi" w:hAnsiTheme="majorHAnsi"/>
                <w:sz w:val="20"/>
                <w:szCs w:val="20"/>
              </w:rPr>
              <w:t>14  or 14</w:t>
            </w:r>
            <w:r w:rsidRPr="00DF0F6F">
              <w:rPr>
                <w:rFonts w:asciiTheme="majorHAnsi" w:hAnsiTheme="majorHAnsi"/>
                <w:sz w:val="20"/>
                <w:szCs w:val="20"/>
              </w:rPr>
              <w:sym w:font="Wingdings" w:char="F0E0"/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8D49ED" w:rsidRPr="00CB1D90" w14:paraId="53B11053" w14:textId="77777777" w:rsidTr="00A65F4A">
        <w:trPr>
          <w:trHeight w:val="159"/>
        </w:trPr>
        <w:tc>
          <w:tcPr>
            <w:tcW w:w="1890" w:type="dxa"/>
          </w:tcPr>
          <w:p w14:paraId="7B24C760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4D01A8AF" w14:textId="6467A1AD" w:rsidR="008D49ED" w:rsidRPr="00CB1D90" w:rsidRDefault="00DF0F6F" w:rsidP="009B21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Kiza directly discusses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9B212D" w:rsidRPr="009B212D">
              <w:rPr>
                <w:rFonts w:asciiTheme="majorHAnsi" w:hAnsiTheme="majorHAnsi"/>
                <w:i/>
                <w:sz w:val="20"/>
                <w:szCs w:val="20"/>
              </w:rPr>
              <w:t>descriptive</w:t>
            </w:r>
            <w:r w:rsidR="009B212D">
              <w:rPr>
                <w:rFonts w:asciiTheme="majorHAnsi" w:hAnsiTheme="majorHAnsi"/>
                <w:sz w:val="20"/>
                <w:szCs w:val="20"/>
              </w:rPr>
              <w:t>)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that adaptation quality of organisms which is a different approach to </w:t>
            </w:r>
            <w:r w:rsidR="009B212D">
              <w:rPr>
                <w:rFonts w:asciiTheme="majorHAnsi" w:hAnsiTheme="majorHAnsi"/>
                <w:sz w:val="20"/>
                <w:szCs w:val="20"/>
              </w:rPr>
              <w:t>my (</w:t>
            </w:r>
            <w:r w:rsidR="009B212D" w:rsidRPr="009B212D">
              <w:rPr>
                <w:rFonts w:asciiTheme="majorHAnsi" w:hAnsiTheme="majorHAnsi"/>
                <w:i/>
                <w:sz w:val="20"/>
                <w:szCs w:val="20"/>
              </w:rPr>
              <w:t>practical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) presentation of </w:t>
            </w:r>
            <w:r>
              <w:rPr>
                <w:rFonts w:asciiTheme="majorHAnsi" w:hAnsiTheme="majorHAnsi"/>
                <w:sz w:val="20"/>
                <w:szCs w:val="20"/>
              </w:rPr>
              <w:t>how humans in fact are attempting to build this human ecosystem and perhaps learn what balance will or should mean for our habitat.</w:t>
            </w:r>
          </w:p>
        </w:tc>
      </w:tr>
      <w:tr w:rsidR="008D49ED" w:rsidRPr="00CB1D90" w14:paraId="7E4D36A8" w14:textId="77777777" w:rsidTr="00A65F4A">
        <w:trPr>
          <w:trHeight w:val="159"/>
        </w:trPr>
        <w:tc>
          <w:tcPr>
            <w:tcW w:w="1890" w:type="dxa"/>
          </w:tcPr>
          <w:p w14:paraId="4ACC1652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12811D49" w14:textId="7533F01C" w:rsidR="008D49ED" w:rsidRPr="00CB1D90" w:rsidRDefault="00DF0F6F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</w:t>
            </w:r>
          </w:p>
        </w:tc>
      </w:tr>
      <w:tr w:rsidR="00A65F4A" w:rsidRPr="00CB1D90" w14:paraId="50E3CB33" w14:textId="77777777" w:rsidTr="00A65F4A">
        <w:trPr>
          <w:trHeight w:val="159"/>
        </w:trPr>
        <w:tc>
          <w:tcPr>
            <w:tcW w:w="1890" w:type="dxa"/>
          </w:tcPr>
          <w:p w14:paraId="3175AABF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0A24322A" w14:textId="648F4B99" w:rsidR="00A65F4A" w:rsidRPr="00CB1D90" w:rsidRDefault="00DF0F6F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1055" w:type="dxa"/>
          </w:tcPr>
          <w:p w14:paraId="29A52164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3EFED2A5" w14:textId="382932B4" w:rsidR="00A65F4A" w:rsidRPr="00CB1D90" w:rsidRDefault="00DF0F6F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</w:t>
            </w:r>
            <w:r w:rsidRPr="00DF0F6F">
              <w:rPr>
                <w:rFonts w:asciiTheme="majorHAnsi" w:hAnsiTheme="majorHAnsi"/>
                <w:sz w:val="20"/>
                <w:szCs w:val="20"/>
              </w:rPr>
              <w:sym w:font="Wingdings" w:char="F0E0"/>
            </w:r>
            <w:r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</w:tr>
      <w:tr w:rsidR="008D49ED" w:rsidRPr="00CB1D90" w14:paraId="59C898A5" w14:textId="77777777" w:rsidTr="00A65F4A">
        <w:trPr>
          <w:trHeight w:val="159"/>
        </w:trPr>
        <w:tc>
          <w:tcPr>
            <w:tcW w:w="1890" w:type="dxa"/>
          </w:tcPr>
          <w:p w14:paraId="1726743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3946521B" w14:textId="34C96FD6" w:rsidR="008D49ED" w:rsidRPr="00CB1D90" w:rsidRDefault="00AA2B6E" w:rsidP="005473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Antonio directs the reader to consider </w:t>
            </w:r>
            <w:r w:rsidR="0054732D">
              <w:rPr>
                <w:rFonts w:asciiTheme="majorHAnsi" w:hAnsiTheme="majorHAnsi"/>
                <w:sz w:val="20"/>
                <w:szCs w:val="20"/>
              </w:rPr>
              <w:t xml:space="preserve">concepts of boundaries which necessarily involves the ethics of how we address all </w:t>
            </w:r>
            <w:proofErr w:type="gramStart"/>
            <w:r w:rsidR="0054732D">
              <w:rPr>
                <w:rFonts w:asciiTheme="majorHAnsi" w:hAnsiTheme="majorHAnsi"/>
                <w:sz w:val="20"/>
                <w:szCs w:val="20"/>
              </w:rPr>
              <w:t>humans,</w:t>
            </w:r>
            <w:proofErr w:type="gramEnd"/>
            <w:r w:rsidR="0054732D">
              <w:rPr>
                <w:rFonts w:asciiTheme="majorHAnsi" w:hAnsiTheme="majorHAnsi"/>
                <w:sz w:val="20"/>
                <w:szCs w:val="20"/>
              </w:rPr>
              <w:t xml:space="preserve"> and thus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 similar concepts of</w:t>
            </w:r>
            <w:r w:rsidR="0054732D">
              <w:rPr>
                <w:rFonts w:asciiTheme="majorHAnsi" w:hAnsiTheme="majorHAnsi"/>
                <w:sz w:val="20"/>
                <w:szCs w:val="20"/>
              </w:rPr>
              <w:t xml:space="preserve"> equity within our community and culture</w:t>
            </w:r>
            <w:r w:rsidR="009B212D">
              <w:rPr>
                <w:rFonts w:asciiTheme="majorHAnsi" w:hAnsiTheme="majorHAnsi"/>
                <w:sz w:val="20"/>
                <w:szCs w:val="20"/>
              </w:rPr>
              <w:t xml:space="preserve"> that I raised</w:t>
            </w:r>
            <w:r w:rsidR="0054732D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65F4A" w:rsidRPr="00CB1D90" w14:paraId="4536C642" w14:textId="77777777" w:rsidTr="00A65F4A">
        <w:trPr>
          <w:trHeight w:val="159"/>
        </w:trPr>
        <w:tc>
          <w:tcPr>
            <w:tcW w:w="1890" w:type="dxa"/>
          </w:tcPr>
          <w:p w14:paraId="6005536A" w14:textId="77777777" w:rsidR="00A65F4A" w:rsidRPr="00CB1D90" w:rsidRDefault="00A65F4A" w:rsidP="0069214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475DE9F1" w14:textId="68540CDD" w:rsidR="00A65F4A" w:rsidRPr="00CB1D90" w:rsidRDefault="00DF0F6F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  <w:tc>
          <w:tcPr>
            <w:tcW w:w="1055" w:type="dxa"/>
          </w:tcPr>
          <w:p w14:paraId="78E4939F" w14:textId="77777777" w:rsidR="00A65F4A" w:rsidRPr="00CB1D90" w:rsidRDefault="00A65F4A" w:rsidP="0069214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74002921" w14:textId="0385F9DA" w:rsidR="00A65F4A" w:rsidRPr="00CB1D90" w:rsidRDefault="00DF0F6F" w:rsidP="005473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54732D">
              <w:rPr>
                <w:rFonts w:asciiTheme="majorHAnsi" w:hAnsiTheme="majorHAnsi"/>
                <w:sz w:val="20"/>
                <w:szCs w:val="20"/>
              </w:rPr>
              <w:t>3</w:t>
            </w:r>
            <w:r w:rsidRPr="00DF0F6F">
              <w:rPr>
                <w:rFonts w:asciiTheme="majorHAnsi" w:hAnsiTheme="majorHAnsi"/>
                <w:sz w:val="20"/>
                <w:szCs w:val="20"/>
              </w:rPr>
              <w:sym w:font="Wingdings" w:char="F0E0"/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54732D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8D49ED" w:rsidRPr="00CB1D90" w14:paraId="751D002F" w14:textId="77777777" w:rsidTr="00A65F4A">
        <w:trPr>
          <w:trHeight w:val="159"/>
        </w:trPr>
        <w:tc>
          <w:tcPr>
            <w:tcW w:w="1890" w:type="dxa"/>
          </w:tcPr>
          <w:p w14:paraId="10BAF8A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6FE31156" w14:textId="5B311E44" w:rsidR="008D49ED" w:rsidRPr="00CB1D90" w:rsidRDefault="00AA2B6E" w:rsidP="009B21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Ingo summarizes the </w:t>
            </w:r>
            <w:r w:rsidR="0054732D">
              <w:rPr>
                <w:rFonts w:asciiTheme="majorHAnsi" w:hAnsiTheme="majorHAnsi"/>
                <w:sz w:val="20"/>
                <w:szCs w:val="20"/>
              </w:rPr>
              <w:t xml:space="preserve">fundamental niche concept which introduces how competition and adaption are a part of our habitation. I believe this leads nicely into </w:t>
            </w:r>
            <w:r w:rsidR="009B212D">
              <w:rPr>
                <w:rFonts w:asciiTheme="majorHAnsi" w:hAnsiTheme="majorHAnsi"/>
                <w:sz w:val="20"/>
                <w:szCs w:val="20"/>
              </w:rPr>
              <w:t>my</w:t>
            </w:r>
            <w:bookmarkStart w:id="0" w:name="_GoBack"/>
            <w:bookmarkEnd w:id="0"/>
            <w:r w:rsidR="0054732D">
              <w:rPr>
                <w:rFonts w:asciiTheme="majorHAnsi" w:hAnsiTheme="majorHAnsi"/>
                <w:sz w:val="20"/>
                <w:szCs w:val="20"/>
              </w:rPr>
              <w:t xml:space="preserve"> discussion on how we manage and provide for humans overall and where equity becomes an added component of living.</w:t>
            </w:r>
          </w:p>
        </w:tc>
      </w:tr>
      <w:tr w:rsidR="008D49ED" w:rsidRPr="00CB1D90" w14:paraId="4B6D558E" w14:textId="77777777" w:rsidTr="00A65F4A">
        <w:trPr>
          <w:trHeight w:val="159"/>
        </w:trPr>
        <w:tc>
          <w:tcPr>
            <w:tcW w:w="1890" w:type="dxa"/>
          </w:tcPr>
          <w:p w14:paraId="749CF34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20" w:type="dxa"/>
            <w:gridSpan w:val="3"/>
          </w:tcPr>
          <w:p w14:paraId="442E9DED" w14:textId="156B47CA" w:rsidR="008D49ED" w:rsidRDefault="008D49ED" w:rsidP="005E10E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7EA259B" w14:textId="77777777" w:rsidR="008E0C43" w:rsidRPr="00CB1D90" w:rsidRDefault="008E0C43" w:rsidP="008D49ED">
      <w:pPr>
        <w:rPr>
          <w:rFonts w:asciiTheme="majorHAnsi" w:hAnsiTheme="majorHAnsi"/>
          <w:sz w:val="20"/>
          <w:szCs w:val="20"/>
        </w:rPr>
      </w:pPr>
    </w:p>
    <w:sectPr w:rsidR="008E0C43" w:rsidRPr="00CB1D90" w:rsidSect="009D46AF">
      <w:pgSz w:w="15840" w:h="12240" w:orient="landscape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C9"/>
    <w:rsid w:val="000541C7"/>
    <w:rsid w:val="002262E4"/>
    <w:rsid w:val="00361A24"/>
    <w:rsid w:val="00386664"/>
    <w:rsid w:val="0054732D"/>
    <w:rsid w:val="00590421"/>
    <w:rsid w:val="005E10E6"/>
    <w:rsid w:val="00716031"/>
    <w:rsid w:val="00776645"/>
    <w:rsid w:val="008D49ED"/>
    <w:rsid w:val="008E0C43"/>
    <w:rsid w:val="0094203F"/>
    <w:rsid w:val="009448AB"/>
    <w:rsid w:val="009B212D"/>
    <w:rsid w:val="009D46AF"/>
    <w:rsid w:val="00A4564F"/>
    <w:rsid w:val="00A548E5"/>
    <w:rsid w:val="00A65F4A"/>
    <w:rsid w:val="00AA2B6E"/>
    <w:rsid w:val="00C572D4"/>
    <w:rsid w:val="00CA1592"/>
    <w:rsid w:val="00CB1D90"/>
    <w:rsid w:val="00DA1143"/>
    <w:rsid w:val="00DF0F6F"/>
    <w:rsid w:val="00E64A30"/>
    <w:rsid w:val="00F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41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habitingtheanthropocene.com/2015/02/25/building-equitable-urban-resilience/" TargetMode="External"/><Relationship Id="rId13" Type="http://schemas.openxmlformats.org/officeDocument/2006/relationships/hyperlink" Target="http://inhabitingtheanthropocene.com/2015/03/17/toward-an-ethics-of-niche-construction/" TargetMode="External"/><Relationship Id="rId18" Type="http://schemas.openxmlformats.org/officeDocument/2006/relationships/hyperlink" Target="http://inhabitingtheanthropocene.com/2015/04/04/habitability-as-common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nhabitingtheanthropocene.com/2015/02/23/diachronous-beginnings-of-the-anthropocene-the-lower-bounding-surface-of-anthropogenic-deposits/" TargetMode="External"/><Relationship Id="rId12" Type="http://schemas.openxmlformats.org/officeDocument/2006/relationships/hyperlink" Target="http://inhabitingtheanthropocene.com/2015/03/14/a-safe-operating-space-for-humanity/" TargetMode="External"/><Relationship Id="rId17" Type="http://schemas.openxmlformats.org/officeDocument/2006/relationships/hyperlink" Target="http://inhabitingtheanthropocene.com/2015/03/31/habitabilitys-non-inevitability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nhabitingtheanthropocene.com/2015/03/27/memes-as-a-dimension-of-the-human-niche/" TargetMode="External"/><Relationship Id="rId20" Type="http://schemas.openxmlformats.org/officeDocument/2006/relationships/hyperlink" Target="http://inhabitingtheanthropocene.com/2015/04/11/the-dust-of-civilizat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inhabitingtheanthropocene.com/2015/02/19/organisms-as-ecosystem-engineers/" TargetMode="External"/><Relationship Id="rId11" Type="http://schemas.openxmlformats.org/officeDocument/2006/relationships/hyperlink" Target="http://inhabitingtheanthropocene.com/2015/03/09/hutchinson-concluding-remarks/" TargetMode="External"/><Relationship Id="rId5" Type="http://schemas.openxmlformats.org/officeDocument/2006/relationships/hyperlink" Target="http://inhabitingtheanthropocene.com/2015/02/16/of-property/" TargetMode="External"/><Relationship Id="rId15" Type="http://schemas.openxmlformats.org/officeDocument/2006/relationships/hyperlink" Target="http://inhabitingtheanthropocene.com/2015/03/23/advancing-equity-and-going-beyond-basic-survival/" TargetMode="External"/><Relationship Id="rId10" Type="http://schemas.openxmlformats.org/officeDocument/2006/relationships/hyperlink" Target="http://inhabitingtheanthropocene.com/2015/03/05/loess-the-yellow-earth/" TargetMode="External"/><Relationship Id="rId19" Type="http://schemas.openxmlformats.org/officeDocument/2006/relationships/hyperlink" Target="http://inhabitingtheanthropocene.com/2015/04/08/toward-a-more-than-human-anthropoce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habitingtheanthropocene.com/2015/03/02/principles-of-tsawalk-an-indigenous-approach-to-global-crisis/" TargetMode="External"/><Relationship Id="rId14" Type="http://schemas.openxmlformats.org/officeDocument/2006/relationships/hyperlink" Target="http://inhabitingtheanthropocene.com/2015/03/20/implications-of-manufacturing-habitabili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Philosophy, University of Oklahoma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Zev Trachtenberg</dc:creator>
  <cp:lastModifiedBy>Wieters, K. Meghan</cp:lastModifiedBy>
  <cp:revision>5</cp:revision>
  <dcterms:created xsi:type="dcterms:W3CDTF">2015-05-31T18:08:00Z</dcterms:created>
  <dcterms:modified xsi:type="dcterms:W3CDTF">2015-05-31T21:05:00Z</dcterms:modified>
</cp:coreProperties>
</file>