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AF" w:rsidRPr="002F52AF" w:rsidRDefault="002F52AF" w:rsidP="002F52AF">
      <w:pPr>
        <w:spacing w:before="0" w:after="200" w:line="276" w:lineRule="auto"/>
        <w:rPr>
          <w:color w:val="00B050"/>
        </w:rPr>
      </w:pPr>
      <w:r w:rsidRPr="003868FE">
        <w:rPr>
          <w:b/>
          <w:color w:val="00B050"/>
        </w:rPr>
        <w:t xml:space="preserve">Table </w:t>
      </w:r>
      <w:r>
        <w:rPr>
          <w:b/>
          <w:color w:val="00B050"/>
        </w:rPr>
        <w:t>2</w:t>
      </w:r>
      <w:r w:rsidRPr="003868FE">
        <w:rPr>
          <w:b/>
          <w:color w:val="00B050"/>
        </w:rPr>
        <w:t>.</w:t>
      </w:r>
      <w:r w:rsidRPr="003868FE">
        <w:rPr>
          <w:color w:val="00B050"/>
        </w:rPr>
        <w:t xml:space="preserve"> Results of </w:t>
      </w:r>
      <w:r>
        <w:rPr>
          <w:color w:val="00B050"/>
        </w:rPr>
        <w:t>five</w:t>
      </w:r>
      <w:r w:rsidRPr="003868FE">
        <w:rPr>
          <w:color w:val="00B050"/>
        </w:rPr>
        <w:t xml:space="preserve"> </w:t>
      </w:r>
      <w:r>
        <w:rPr>
          <w:color w:val="00B050"/>
        </w:rPr>
        <w:t xml:space="preserve">different mitigation scenarios </w:t>
      </w:r>
      <w:r w:rsidRPr="003868FE">
        <w:rPr>
          <w:color w:val="00B050"/>
        </w:rPr>
        <w:t xml:space="preserve">for </w:t>
      </w:r>
      <w:r>
        <w:rPr>
          <w:color w:val="00B050"/>
        </w:rPr>
        <w:t>two</w:t>
      </w:r>
      <w:r w:rsidRPr="003868FE">
        <w:rPr>
          <w:color w:val="00B050"/>
        </w:rPr>
        <w:t xml:space="preserve"> study areas</w:t>
      </w:r>
      <w:r>
        <w:rPr>
          <w:color w:val="00B050"/>
        </w:rPr>
        <w:t>, and one averaged area,</w:t>
      </w:r>
      <w:r w:rsidRPr="003868FE">
        <w:rPr>
          <w:color w:val="00B050"/>
        </w:rPr>
        <w:t xml:space="preserve"> of </w:t>
      </w:r>
      <w:r>
        <w:rPr>
          <w:color w:val="00B050"/>
        </w:rPr>
        <w:t>W</w:t>
      </w:r>
      <w:r w:rsidRPr="003868FE">
        <w:rPr>
          <w:color w:val="00B050"/>
        </w:rPr>
        <w:t xml:space="preserve">oodland </w:t>
      </w:r>
      <w:r>
        <w:rPr>
          <w:color w:val="00B050"/>
        </w:rPr>
        <w:t>B</w:t>
      </w:r>
      <w:r w:rsidRPr="003868FE">
        <w:rPr>
          <w:color w:val="00B050"/>
        </w:rPr>
        <w:t xml:space="preserve">oreal </w:t>
      </w:r>
      <w:r>
        <w:rPr>
          <w:color w:val="00B050"/>
        </w:rPr>
        <w:t>C</w:t>
      </w:r>
      <w:r w:rsidRPr="003868FE">
        <w:rPr>
          <w:color w:val="00B050"/>
        </w:rPr>
        <w:t xml:space="preserve">aribou in </w:t>
      </w:r>
      <w:r>
        <w:rPr>
          <w:color w:val="00B050"/>
        </w:rPr>
        <w:t>Northeastern</w:t>
      </w:r>
      <w:r w:rsidRPr="003868FE">
        <w:rPr>
          <w:color w:val="00B050"/>
        </w:rPr>
        <w:t xml:space="preserve"> British Columbia, Canada, under the presented BRAT framework. </w:t>
      </w:r>
      <w:r>
        <w:rPr>
          <w:color w:val="00B050"/>
        </w:rPr>
        <w:t>The target frequency is the 6</w:t>
      </w:r>
      <w:r w:rsidRPr="003868FE">
        <w:rPr>
          <w:color w:val="00B050"/>
        </w:rPr>
        <w:t>0% threshold of a normally distributed range of lambda</w:t>
      </w:r>
      <w:r>
        <w:rPr>
          <w:color w:val="00B050"/>
        </w:rPr>
        <w:t xml:space="preserve"> </w:t>
      </w:r>
      <w:r w:rsidRPr="000A48B4">
        <w:rPr>
          <w:rFonts w:cs="Times New Roman"/>
          <w:color w:val="00B050"/>
          <w:szCs w:val="24"/>
        </w:rPr>
        <w:t xml:space="preserve">(λ) </w:t>
      </w:r>
      <w:r w:rsidRPr="003868FE">
        <w:rPr>
          <w:color w:val="00B050"/>
        </w:rPr>
        <w:t xml:space="preserve">values, </w:t>
      </w:r>
      <w:r w:rsidRPr="002F52AF">
        <w:rPr>
          <w:color w:val="00B050"/>
        </w:rPr>
        <w:t>with a standard deviation of 0.1. Bolded</w:t>
      </w:r>
      <w:r w:rsidRPr="003868FE">
        <w:rPr>
          <w:color w:val="00B050"/>
        </w:rPr>
        <w:t xml:space="preserve"> values represent frequencies under which each scenario has </w:t>
      </w:r>
      <w:r w:rsidRPr="00A86B74">
        <w:rPr>
          <w:color w:val="00B050"/>
        </w:rPr>
        <w:t>a positive effect on each study area. Italicized costs represent the most cost effective strategy for each study area</w:t>
      </w:r>
      <w:r>
        <w:rPr>
          <w:color w:val="00B050"/>
        </w:rPr>
        <w:t>.</w:t>
      </w:r>
    </w:p>
    <w:tbl>
      <w:tblPr>
        <w:tblStyle w:val="PlainTable2"/>
        <w:tblW w:w="13178" w:type="dxa"/>
        <w:tblLook w:val="04A0" w:firstRow="1" w:lastRow="0" w:firstColumn="1" w:lastColumn="0" w:noHBand="0" w:noVBand="1"/>
      </w:tblPr>
      <w:tblGrid>
        <w:gridCol w:w="2959"/>
        <w:gridCol w:w="976"/>
        <w:gridCol w:w="1965"/>
        <w:gridCol w:w="1833"/>
        <w:gridCol w:w="2517"/>
        <w:gridCol w:w="2928"/>
      </w:tblGrid>
      <w:tr w:rsidR="002F52AF" w:rsidRPr="008E6F3D" w:rsidTr="00A86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single" w:sz="12" w:space="0" w:color="auto"/>
              <w:bottom w:val="single" w:sz="12" w:space="0" w:color="auto"/>
            </w:tcBorders>
          </w:tcPr>
          <w:p w:rsidR="002F52AF" w:rsidRPr="008E6F3D" w:rsidRDefault="002F52AF" w:rsidP="00A86B74">
            <w:pPr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Scenario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vertAlign w:val="superscript"/>
              </w:rPr>
            </w:pPr>
            <w:r w:rsidRPr="008E6F3D">
              <w:rPr>
                <w:rFonts w:cs="Times New Roman"/>
                <w:sz w:val="20"/>
                <w:szCs w:val="20"/>
              </w:rPr>
              <w:t xml:space="preserve">Study </w:t>
            </w:r>
            <w:proofErr w:type="spellStart"/>
            <w:r w:rsidRPr="008E6F3D">
              <w:rPr>
                <w:rFonts w:cs="Times New Roman"/>
                <w:sz w:val="20"/>
                <w:szCs w:val="20"/>
              </w:rPr>
              <w:t>Area</w:t>
            </w:r>
            <w:r w:rsidRPr="008E6F3D">
              <w:rPr>
                <w:rFonts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965" w:type="dxa"/>
            <w:tcBorders>
              <w:top w:val="single" w:sz="12" w:space="0" w:color="auto"/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vertAlign w:val="superscript"/>
              </w:rPr>
            </w:pPr>
            <w:r w:rsidRPr="008E6F3D">
              <w:rPr>
                <w:rFonts w:cs="Times New Roman"/>
                <w:sz w:val="20"/>
                <w:szCs w:val="20"/>
              </w:rPr>
              <w:t>Target lambda</w:t>
            </w:r>
            <w:r w:rsidRPr="008E6F3D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vertAlign w:val="superscript"/>
              </w:rPr>
            </w:pPr>
            <w:r w:rsidRPr="008E6F3D">
              <w:rPr>
                <w:rFonts w:cs="Times New Roman"/>
                <w:sz w:val="20"/>
                <w:szCs w:val="20"/>
              </w:rPr>
              <w:t>Top Event lambda</w:t>
            </w:r>
            <w:r w:rsidRPr="008E6F3D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517" w:type="dxa"/>
            <w:tcBorders>
              <w:top w:val="single" w:sz="12" w:space="0" w:color="auto"/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Consequence lambda</w:t>
            </w:r>
            <w:r w:rsidRPr="008E6F3D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928" w:type="dxa"/>
            <w:tcBorders>
              <w:top w:val="single" w:sz="12" w:space="0" w:color="auto"/>
              <w:bottom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Cost (CDN)</w:t>
            </w:r>
          </w:p>
        </w:tc>
      </w:tr>
      <w:tr w:rsidR="002F52AF" w:rsidRPr="008E6F3D" w:rsidTr="00A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single" w:sz="12" w:space="0" w:color="auto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Combined mitigations</w:t>
            </w:r>
          </w:p>
        </w:tc>
        <w:tc>
          <w:tcPr>
            <w:tcW w:w="976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tabs>
                <w:tab w:val="right" w:pos="17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0.956</w:t>
            </w:r>
          </w:p>
        </w:tc>
        <w:tc>
          <w:tcPr>
            <w:tcW w:w="2517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1.233</w:t>
            </w:r>
          </w:p>
        </w:tc>
        <w:tc>
          <w:tcPr>
            <w:tcW w:w="2928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$20,037 + $724,000/ year</w:t>
            </w:r>
          </w:p>
        </w:tc>
      </w:tr>
      <w:tr w:rsidR="002F52AF" w:rsidRPr="008E6F3D" w:rsidTr="00A8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965" w:type="dxa"/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1.240</w:t>
            </w:r>
          </w:p>
        </w:tc>
        <w:tc>
          <w:tcPr>
            <w:tcW w:w="2928" w:type="dxa"/>
          </w:tcPr>
          <w:p w:rsidR="002F52AF" w:rsidRPr="008E6F3D" w:rsidRDefault="002F52AF" w:rsidP="00A86B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$18,025 + $724,000/ year</w:t>
            </w:r>
          </w:p>
        </w:tc>
      </w:tr>
      <w:tr w:rsidR="002F52AF" w:rsidRPr="008E6F3D" w:rsidTr="00A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single" w:sz="12" w:space="0" w:color="auto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965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1.240</w:t>
            </w:r>
          </w:p>
        </w:tc>
        <w:tc>
          <w:tcPr>
            <w:tcW w:w="2928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$14,909 + $724,000/ year</w:t>
            </w:r>
          </w:p>
        </w:tc>
      </w:tr>
      <w:tr w:rsidR="002F52AF" w:rsidRPr="008E6F3D" w:rsidTr="00A8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single" w:sz="12" w:space="0" w:color="auto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 xml:space="preserve"> Total predator control</w:t>
            </w:r>
          </w:p>
        </w:tc>
        <w:tc>
          <w:tcPr>
            <w:tcW w:w="976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0.956</w:t>
            </w:r>
          </w:p>
        </w:tc>
        <w:tc>
          <w:tcPr>
            <w:tcW w:w="2517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1.151</w:t>
            </w:r>
          </w:p>
        </w:tc>
        <w:tc>
          <w:tcPr>
            <w:tcW w:w="2928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8E6F3D">
              <w:rPr>
                <w:rFonts w:cs="Times New Roman"/>
                <w:b/>
                <w:i/>
                <w:sz w:val="20"/>
                <w:szCs w:val="20"/>
              </w:rPr>
              <w:t>$224,000/ year</w:t>
            </w:r>
          </w:p>
        </w:tc>
      </w:tr>
      <w:tr w:rsidR="002F52AF" w:rsidRPr="008E6F3D" w:rsidTr="00A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965" w:type="dxa"/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1.158</w:t>
            </w:r>
          </w:p>
        </w:tc>
        <w:tc>
          <w:tcPr>
            <w:tcW w:w="2928" w:type="dxa"/>
          </w:tcPr>
          <w:p w:rsidR="002F52AF" w:rsidRPr="008E6F3D" w:rsidRDefault="002F52AF" w:rsidP="00A86B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8E6F3D">
              <w:rPr>
                <w:rFonts w:cs="Times New Roman"/>
                <w:b/>
                <w:i/>
                <w:sz w:val="20"/>
                <w:szCs w:val="20"/>
              </w:rPr>
              <w:t>$224,000/ year</w:t>
            </w:r>
          </w:p>
        </w:tc>
      </w:tr>
      <w:tr w:rsidR="002F52AF" w:rsidRPr="008E6F3D" w:rsidTr="00A8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single" w:sz="12" w:space="0" w:color="auto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965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1.158</w:t>
            </w:r>
          </w:p>
        </w:tc>
        <w:tc>
          <w:tcPr>
            <w:tcW w:w="2928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8E6F3D">
              <w:rPr>
                <w:rFonts w:cs="Times New Roman"/>
                <w:b/>
                <w:i/>
                <w:sz w:val="20"/>
                <w:szCs w:val="20"/>
              </w:rPr>
              <w:t>$224,000/ year</w:t>
            </w:r>
          </w:p>
        </w:tc>
      </w:tr>
      <w:tr w:rsidR="002F52AF" w:rsidRPr="008E6F3D" w:rsidTr="00A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single" w:sz="12" w:space="0" w:color="auto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  <w:r w:rsidRPr="008E6F3D">
              <w:rPr>
                <w:rFonts w:cs="Times New Roman"/>
                <w:b w:val="0"/>
                <w:sz w:val="20"/>
                <w:szCs w:val="20"/>
              </w:rPr>
              <w:t>Maternity penning</w:t>
            </w:r>
          </w:p>
        </w:tc>
        <w:tc>
          <w:tcPr>
            <w:tcW w:w="976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0.956</w:t>
            </w:r>
          </w:p>
        </w:tc>
        <w:tc>
          <w:tcPr>
            <w:tcW w:w="2517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1.008</w:t>
            </w:r>
          </w:p>
        </w:tc>
        <w:tc>
          <w:tcPr>
            <w:tcW w:w="2928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$500,000/ year</w:t>
            </w:r>
          </w:p>
        </w:tc>
      </w:tr>
      <w:tr w:rsidR="002F52AF" w:rsidRPr="008E6F3D" w:rsidTr="00A8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965" w:type="dxa"/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1.017</w:t>
            </w:r>
          </w:p>
        </w:tc>
        <w:tc>
          <w:tcPr>
            <w:tcW w:w="2928" w:type="dxa"/>
          </w:tcPr>
          <w:p w:rsidR="002F52AF" w:rsidRPr="008E6F3D" w:rsidRDefault="002F52AF" w:rsidP="00A86B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$500,000/ year</w:t>
            </w:r>
          </w:p>
        </w:tc>
      </w:tr>
      <w:tr w:rsidR="002F52AF" w:rsidRPr="008E6F3D" w:rsidTr="00A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single" w:sz="12" w:space="0" w:color="auto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965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0.975</w:t>
            </w:r>
          </w:p>
        </w:tc>
        <w:tc>
          <w:tcPr>
            <w:tcW w:w="1833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1.017</w:t>
            </w:r>
          </w:p>
        </w:tc>
        <w:tc>
          <w:tcPr>
            <w:tcW w:w="2928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$500,000/ year</w:t>
            </w:r>
          </w:p>
        </w:tc>
      </w:tr>
      <w:tr w:rsidR="002F52AF" w:rsidRPr="008E6F3D" w:rsidTr="00A86B74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single" w:sz="12" w:space="0" w:color="auto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  <w:r w:rsidRPr="008E6F3D">
              <w:rPr>
                <w:rFonts w:cs="Times New Roman"/>
                <w:b w:val="0"/>
                <w:sz w:val="20"/>
                <w:szCs w:val="20"/>
              </w:rPr>
              <w:t>Linear feature restoration</w:t>
            </w:r>
          </w:p>
        </w:tc>
        <w:tc>
          <w:tcPr>
            <w:tcW w:w="976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0.956</w:t>
            </w:r>
          </w:p>
        </w:tc>
        <w:tc>
          <w:tcPr>
            <w:tcW w:w="2517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1.008</w:t>
            </w:r>
          </w:p>
        </w:tc>
        <w:tc>
          <w:tcPr>
            <w:tcW w:w="2928" w:type="dxa"/>
            <w:tcBorders>
              <w:top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$20,037</w:t>
            </w:r>
          </w:p>
        </w:tc>
      </w:tr>
      <w:tr w:rsidR="002F52AF" w:rsidRPr="008E6F3D" w:rsidTr="00A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965" w:type="dxa"/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</w:tcPr>
          <w:p w:rsidR="002F52AF" w:rsidRPr="008E6F3D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1.017</w:t>
            </w:r>
          </w:p>
        </w:tc>
        <w:tc>
          <w:tcPr>
            <w:tcW w:w="2928" w:type="dxa"/>
          </w:tcPr>
          <w:p w:rsidR="002F52AF" w:rsidRPr="008E6F3D" w:rsidRDefault="002F52AF" w:rsidP="00A86B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$18,025</w:t>
            </w:r>
          </w:p>
        </w:tc>
      </w:tr>
      <w:tr w:rsidR="002F52AF" w:rsidRPr="008E6F3D" w:rsidTr="00A8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single" w:sz="12" w:space="0" w:color="auto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965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1.017</w:t>
            </w:r>
          </w:p>
        </w:tc>
        <w:tc>
          <w:tcPr>
            <w:tcW w:w="2928" w:type="dxa"/>
            <w:tcBorders>
              <w:bottom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$14,909</w:t>
            </w:r>
          </w:p>
        </w:tc>
      </w:tr>
      <w:tr w:rsidR="002F52AF" w:rsidRPr="008E6F3D" w:rsidTr="00A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single" w:sz="12" w:space="0" w:color="auto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Linear feature and maternal penning</w:t>
            </w:r>
          </w:p>
        </w:tc>
        <w:tc>
          <w:tcPr>
            <w:tcW w:w="976" w:type="dxa"/>
            <w:tcBorders>
              <w:bottom w:val="single" w:sz="8" w:space="0" w:color="auto"/>
            </w:tcBorders>
          </w:tcPr>
          <w:p w:rsidR="002F52AF" w:rsidRPr="008E6F3D" w:rsidDel="00E904F0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bottom w:val="single" w:sz="8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bottom w:val="single" w:sz="8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0.956</w:t>
            </w:r>
          </w:p>
        </w:tc>
        <w:tc>
          <w:tcPr>
            <w:tcW w:w="2517" w:type="dxa"/>
            <w:tcBorders>
              <w:bottom w:val="single" w:sz="8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1.066</w:t>
            </w:r>
          </w:p>
        </w:tc>
        <w:tc>
          <w:tcPr>
            <w:tcW w:w="2928" w:type="dxa"/>
            <w:tcBorders>
              <w:bottom w:val="single" w:sz="8" w:space="0" w:color="auto"/>
            </w:tcBorders>
          </w:tcPr>
          <w:p w:rsidR="002F52AF" w:rsidRPr="008E6F3D" w:rsidRDefault="002F52AF" w:rsidP="00A86B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$20,037 + $500,000/year</w:t>
            </w:r>
          </w:p>
        </w:tc>
      </w:tr>
      <w:tr w:rsidR="002F52AF" w:rsidRPr="008E6F3D" w:rsidTr="00A8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nil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</w:tcPr>
          <w:p w:rsidR="002F52AF" w:rsidRPr="008E6F3D" w:rsidDel="00E904F0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single" w:sz="8" w:space="0" w:color="auto"/>
              <w:bottom w:val="single" w:sz="8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top w:val="single" w:sz="8" w:space="0" w:color="auto"/>
              <w:bottom w:val="single" w:sz="8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  <w:tcBorders>
              <w:top w:val="single" w:sz="8" w:space="0" w:color="auto"/>
              <w:bottom w:val="single" w:sz="8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1.066</w:t>
            </w:r>
          </w:p>
        </w:tc>
        <w:tc>
          <w:tcPr>
            <w:tcW w:w="2928" w:type="dxa"/>
            <w:tcBorders>
              <w:top w:val="single" w:sz="8" w:space="0" w:color="auto"/>
              <w:bottom w:val="single" w:sz="8" w:space="0" w:color="auto"/>
            </w:tcBorders>
          </w:tcPr>
          <w:p w:rsidR="002F52AF" w:rsidRPr="008E6F3D" w:rsidRDefault="002F52AF" w:rsidP="00A86B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$18,025 + $500,000/year</w:t>
            </w:r>
          </w:p>
        </w:tc>
      </w:tr>
      <w:tr w:rsidR="002F52AF" w:rsidRPr="008E6F3D" w:rsidTr="00A86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  <w:tcBorders>
              <w:top w:val="nil"/>
              <w:bottom w:val="single" w:sz="12" w:space="0" w:color="auto"/>
            </w:tcBorders>
          </w:tcPr>
          <w:p w:rsidR="002F52AF" w:rsidRPr="008E6F3D" w:rsidRDefault="002F52AF" w:rsidP="00A86B74">
            <w:pPr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8" w:space="0" w:color="auto"/>
              <w:bottom w:val="single" w:sz="12" w:space="0" w:color="auto"/>
            </w:tcBorders>
          </w:tcPr>
          <w:p w:rsidR="002F52AF" w:rsidRPr="008E6F3D" w:rsidDel="00E904F0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965" w:type="dxa"/>
            <w:tcBorders>
              <w:top w:val="single" w:sz="8" w:space="0" w:color="auto"/>
              <w:bottom w:val="single" w:sz="12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1.025</w:t>
            </w:r>
          </w:p>
        </w:tc>
        <w:tc>
          <w:tcPr>
            <w:tcW w:w="1833" w:type="dxa"/>
            <w:tcBorders>
              <w:top w:val="single" w:sz="8" w:space="0" w:color="auto"/>
              <w:bottom w:val="single" w:sz="12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6F3D">
              <w:rPr>
                <w:rFonts w:cs="Times New Roman"/>
                <w:sz w:val="20"/>
                <w:szCs w:val="20"/>
              </w:rPr>
              <w:t>0.966</w:t>
            </w:r>
          </w:p>
        </w:tc>
        <w:tc>
          <w:tcPr>
            <w:tcW w:w="2517" w:type="dxa"/>
            <w:tcBorders>
              <w:top w:val="single" w:sz="8" w:space="0" w:color="auto"/>
              <w:bottom w:val="single" w:sz="12" w:space="0" w:color="auto"/>
            </w:tcBorders>
          </w:tcPr>
          <w:p w:rsidR="002F52AF" w:rsidRPr="008E6F3D" w:rsidDel="007A711E" w:rsidRDefault="002F52AF" w:rsidP="00A86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1.066</w:t>
            </w:r>
          </w:p>
        </w:tc>
        <w:tc>
          <w:tcPr>
            <w:tcW w:w="2928" w:type="dxa"/>
            <w:tcBorders>
              <w:top w:val="single" w:sz="8" w:space="0" w:color="auto"/>
              <w:bottom w:val="single" w:sz="12" w:space="0" w:color="auto"/>
            </w:tcBorders>
          </w:tcPr>
          <w:p w:rsidR="002F52AF" w:rsidRPr="008E6F3D" w:rsidRDefault="002F52AF" w:rsidP="00A86B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8E6F3D">
              <w:rPr>
                <w:rFonts w:cs="Times New Roman"/>
                <w:b/>
                <w:sz w:val="20"/>
                <w:szCs w:val="20"/>
              </w:rPr>
              <w:t>$14,909 + $500,000/year</w:t>
            </w:r>
          </w:p>
        </w:tc>
      </w:tr>
    </w:tbl>
    <w:p w:rsidR="002F52AF" w:rsidRPr="00363E50" w:rsidRDefault="002F52AF" w:rsidP="002F52AF">
      <w:pPr>
        <w:rPr>
          <w:rFonts w:cs="Times New Roman"/>
          <w:color w:val="00B050"/>
          <w:szCs w:val="24"/>
        </w:rPr>
      </w:pPr>
      <w:proofErr w:type="spellStart"/>
      <w:proofErr w:type="gramStart"/>
      <w:r w:rsidRPr="00363E50">
        <w:rPr>
          <w:rFonts w:cs="Times New Roman"/>
          <w:color w:val="00B050"/>
          <w:szCs w:val="24"/>
          <w:vertAlign w:val="superscript"/>
        </w:rPr>
        <w:t>a</w:t>
      </w:r>
      <w:r w:rsidRPr="00363E50">
        <w:rPr>
          <w:rFonts w:cs="Times New Roman"/>
          <w:color w:val="00B050"/>
          <w:szCs w:val="24"/>
        </w:rPr>
        <w:t>Boreal</w:t>
      </w:r>
      <w:proofErr w:type="spellEnd"/>
      <w:proofErr w:type="gramEnd"/>
      <w:r w:rsidRPr="00363E50">
        <w:rPr>
          <w:rFonts w:cs="Times New Roman"/>
          <w:color w:val="00B050"/>
          <w:szCs w:val="24"/>
        </w:rPr>
        <w:t xml:space="preserve"> caribou population d</w:t>
      </w:r>
      <w:r w:rsidR="008E6F3D">
        <w:rPr>
          <w:rFonts w:cs="Times New Roman"/>
          <w:color w:val="00B050"/>
          <w:szCs w:val="24"/>
        </w:rPr>
        <w:t>ata used for each study area</w:t>
      </w:r>
      <w:bookmarkStart w:id="0" w:name="_GoBack"/>
      <w:bookmarkEnd w:id="0"/>
      <w:r w:rsidRPr="00363E50">
        <w:rPr>
          <w:rFonts w:cs="Times New Roman"/>
          <w:color w:val="00B050"/>
          <w:szCs w:val="24"/>
        </w:rPr>
        <w:t xml:space="preserve">: </w:t>
      </w:r>
    </w:p>
    <w:p w:rsidR="002F52AF" w:rsidRPr="00363E50" w:rsidRDefault="002F52AF" w:rsidP="002F52AF">
      <w:pPr>
        <w:pStyle w:val="ListParagraph"/>
        <w:numPr>
          <w:ilvl w:val="0"/>
          <w:numId w:val="2"/>
        </w:numPr>
        <w:rPr>
          <w:color w:val="00B050"/>
        </w:rPr>
      </w:pPr>
      <w:r w:rsidRPr="00363E50">
        <w:rPr>
          <w:color w:val="00B050"/>
        </w:rPr>
        <w:t>Chinchaga herd (N = 250, recruitment = 0.13, adult female survival = 0.87; ECCC 2008; Appendix 6.5 Table 1),</w:t>
      </w:r>
    </w:p>
    <w:p w:rsidR="002F52AF" w:rsidRDefault="002F52AF" w:rsidP="002F52AF">
      <w:pPr>
        <w:pStyle w:val="ListParagraph"/>
        <w:numPr>
          <w:ilvl w:val="0"/>
          <w:numId w:val="2"/>
        </w:numPr>
        <w:rPr>
          <w:color w:val="00B050"/>
        </w:rPr>
      </w:pPr>
      <w:r w:rsidRPr="00363E50">
        <w:rPr>
          <w:color w:val="00B050"/>
        </w:rPr>
        <w:t>Snake-</w:t>
      </w:r>
      <w:proofErr w:type="spellStart"/>
      <w:r w:rsidRPr="00363E50">
        <w:rPr>
          <w:color w:val="00B050"/>
        </w:rPr>
        <w:t>Sahtahneh</w:t>
      </w:r>
      <w:proofErr w:type="spellEnd"/>
      <w:r w:rsidRPr="00363E50">
        <w:rPr>
          <w:color w:val="00B050"/>
        </w:rPr>
        <w:t xml:space="preserve"> herd (N = 360, recruitment = 0.072, adult female survival = 0.94; ECCC 2008; Appendix 6.5 Table 1).</w:t>
      </w:r>
    </w:p>
    <w:p w:rsidR="002F52AF" w:rsidRPr="00A86B74" w:rsidRDefault="002F52AF" w:rsidP="002F52AF">
      <w:pPr>
        <w:ind w:left="720"/>
        <w:rPr>
          <w:color w:val="00B050"/>
        </w:rPr>
      </w:pPr>
      <w:r w:rsidRPr="00A86B74">
        <w:rPr>
          <w:color w:val="00B050"/>
        </w:rPr>
        <w:t>A - Average of Chinchaga and Snake-</w:t>
      </w:r>
      <w:proofErr w:type="spellStart"/>
      <w:r w:rsidRPr="00A86B74">
        <w:rPr>
          <w:color w:val="00B050"/>
        </w:rPr>
        <w:t>Sahtahneh</w:t>
      </w:r>
      <w:proofErr w:type="spellEnd"/>
      <w:r w:rsidRPr="00A86B74">
        <w:rPr>
          <w:color w:val="00B050"/>
        </w:rPr>
        <w:t xml:space="preserve"> herd demography (N = 305, recruitment = 0.105, adult female survival = 0.905)</w:t>
      </w:r>
    </w:p>
    <w:p w:rsidR="002F52AF" w:rsidRPr="00363E50" w:rsidRDefault="002F52AF" w:rsidP="002F52AF">
      <w:pPr>
        <w:rPr>
          <w:rFonts w:cs="Times New Roman"/>
          <w:color w:val="00B050"/>
          <w:szCs w:val="24"/>
        </w:rPr>
      </w:pPr>
      <w:r w:rsidRPr="00363E50">
        <w:rPr>
          <w:rFonts w:cs="Times New Roman"/>
          <w:color w:val="00B050"/>
          <w:szCs w:val="24"/>
          <w:vertAlign w:val="superscript"/>
        </w:rPr>
        <w:t>1</w:t>
      </w:r>
      <w:r w:rsidRPr="00363E50">
        <w:rPr>
          <w:rFonts w:cs="Times New Roman"/>
          <w:color w:val="00B050"/>
          <w:szCs w:val="24"/>
        </w:rPr>
        <w:t>Cost estimates obtained from Schneider et al. 2010 - estimated as 35/km^2. Threshold estimates obtained from BC grey wolf management plan – 80% of area (as a proxy for 80% of the population) needs to be targeted to effectively reduce wolf densities.</w:t>
      </w:r>
    </w:p>
    <w:p w:rsidR="002F52AF" w:rsidRPr="00363E50" w:rsidRDefault="002F52AF" w:rsidP="002F52AF">
      <w:pPr>
        <w:rPr>
          <w:rFonts w:cs="Times New Roman"/>
          <w:color w:val="00B050"/>
          <w:szCs w:val="24"/>
        </w:rPr>
      </w:pPr>
      <w:r w:rsidRPr="00363E50">
        <w:rPr>
          <w:rFonts w:cs="Times New Roman"/>
          <w:color w:val="00B050"/>
          <w:szCs w:val="24"/>
          <w:vertAlign w:val="superscript"/>
        </w:rPr>
        <w:t>2</w:t>
      </w:r>
      <w:r w:rsidRPr="00363E50">
        <w:rPr>
          <w:rFonts w:cs="Times New Roman"/>
          <w:color w:val="00B050"/>
          <w:szCs w:val="24"/>
        </w:rPr>
        <w:t xml:space="preserve">Maternity penning cost estimates were obtained from both S. McNay and R. </w:t>
      </w:r>
      <w:proofErr w:type="spellStart"/>
      <w:r w:rsidRPr="00363E50">
        <w:rPr>
          <w:rFonts w:cs="Times New Roman"/>
          <w:color w:val="00B050"/>
          <w:szCs w:val="24"/>
        </w:rPr>
        <w:t>Serroya</w:t>
      </w:r>
      <w:proofErr w:type="spellEnd"/>
      <w:r w:rsidRPr="00363E50">
        <w:rPr>
          <w:rFonts w:cs="Times New Roman"/>
          <w:color w:val="00B050"/>
          <w:szCs w:val="24"/>
        </w:rPr>
        <w:t xml:space="preserve"> pers. coms – both of which centered around $500,000 to $550,000 per year. The costs of </w:t>
      </w:r>
      <w:proofErr w:type="spellStart"/>
      <w:r w:rsidRPr="00363E50">
        <w:rPr>
          <w:rFonts w:cs="Times New Roman"/>
          <w:color w:val="00B050"/>
          <w:szCs w:val="24"/>
        </w:rPr>
        <w:t>exclosures</w:t>
      </w:r>
      <w:proofErr w:type="spellEnd"/>
      <w:r w:rsidRPr="00363E50">
        <w:rPr>
          <w:rFonts w:cs="Times New Roman"/>
          <w:color w:val="00B050"/>
          <w:szCs w:val="24"/>
        </w:rPr>
        <w:t xml:space="preserve"> are implicitly included in a maternal penning cost, and maintenance of a fence is of minimal expense (S. McNay pers. com).</w:t>
      </w:r>
    </w:p>
    <w:p w:rsidR="001C5229" w:rsidRDefault="002F52AF" w:rsidP="002F52AF">
      <w:pPr>
        <w:rPr>
          <w:color w:val="00B050"/>
        </w:rPr>
      </w:pPr>
      <w:r w:rsidRPr="00363E50">
        <w:rPr>
          <w:rFonts w:cs="Times New Roman"/>
          <w:color w:val="00B050"/>
          <w:szCs w:val="24"/>
          <w:vertAlign w:val="superscript"/>
        </w:rPr>
        <w:t>3</w:t>
      </w:r>
      <w:r w:rsidRPr="00363E50">
        <w:rPr>
          <w:rFonts w:cs="Times New Roman"/>
          <w:color w:val="00B050"/>
          <w:szCs w:val="24"/>
        </w:rPr>
        <w:t xml:space="preserve">Cost estimates obtained from </w:t>
      </w:r>
      <w:proofErr w:type="spellStart"/>
      <w:r w:rsidRPr="00363E50">
        <w:rPr>
          <w:rFonts w:cs="Times New Roman"/>
          <w:color w:val="00B050"/>
          <w:szCs w:val="24"/>
        </w:rPr>
        <w:t>Pyper</w:t>
      </w:r>
      <w:proofErr w:type="spellEnd"/>
      <w:r w:rsidRPr="00363E50">
        <w:rPr>
          <w:rFonts w:cs="Times New Roman"/>
          <w:color w:val="00B050"/>
          <w:szCs w:val="24"/>
        </w:rPr>
        <w:t xml:space="preserve"> et al. (2014) as $12,500/km. An effective threshold for these populations was considered to be 70%, as this is similar reflects Environment and Climate Change Canada’s 2012 threshold of only having 35% of a local population unit having disturbance. Each of our study areas also contains 70% herd range, so the values presented here assumes 70% of seismic lines are restored within the herd range of a study area. </w:t>
      </w:r>
      <w:r w:rsidRPr="00363E50">
        <w:rPr>
          <w:color w:val="00B050"/>
        </w:rPr>
        <w:t xml:space="preserve">Calculated density of seismic lines for the herd area within each study area were obtained </w:t>
      </w:r>
      <w:r w:rsidRPr="001B7402">
        <w:rPr>
          <w:color w:val="00B050"/>
        </w:rPr>
        <w:t>from Table 1, and the efficacy of this treatment is assumed to be similar to maternity penning in terms of a lambda response.</w:t>
      </w:r>
    </w:p>
    <w:p w:rsidR="008E6F3D" w:rsidRDefault="008E6F3D">
      <w:pPr>
        <w:spacing w:before="0" w:after="160" w:line="259" w:lineRule="auto"/>
        <w:rPr>
          <w:color w:val="00B050"/>
        </w:rPr>
      </w:pPr>
      <w:r>
        <w:rPr>
          <w:color w:val="00B050"/>
        </w:rPr>
        <w:br w:type="page"/>
      </w:r>
    </w:p>
    <w:p w:rsidR="008E6F3D" w:rsidRPr="001B7402" w:rsidRDefault="008E6F3D" w:rsidP="002F52AF">
      <w:pPr>
        <w:rPr>
          <w:color w:val="00B050"/>
        </w:rPr>
      </w:pPr>
    </w:p>
    <w:p w:rsidR="000B04F2" w:rsidRPr="001B7402" w:rsidRDefault="000B04F2" w:rsidP="002F52AF">
      <w:pPr>
        <w:rPr>
          <w:b/>
          <w:color w:val="00B050"/>
        </w:rPr>
      </w:pPr>
      <w:r w:rsidRPr="001B7402">
        <w:rPr>
          <w:b/>
          <w:color w:val="00B050"/>
        </w:rPr>
        <w:t xml:space="preserve">Table 4. </w:t>
      </w:r>
      <w:r w:rsidR="001B7402">
        <w:rPr>
          <w:color w:val="00B050"/>
        </w:rPr>
        <w:t>Input values for</w:t>
      </w:r>
      <w:r w:rsidR="001B7402" w:rsidRPr="003868FE">
        <w:rPr>
          <w:color w:val="00B050"/>
        </w:rPr>
        <w:t xml:space="preserve"> </w:t>
      </w:r>
      <w:r w:rsidR="001B7402">
        <w:rPr>
          <w:color w:val="00B050"/>
        </w:rPr>
        <w:t>two</w:t>
      </w:r>
      <w:r w:rsidR="001B7402" w:rsidRPr="003868FE">
        <w:rPr>
          <w:color w:val="00B050"/>
        </w:rPr>
        <w:t xml:space="preserve"> study areas</w:t>
      </w:r>
      <w:r w:rsidR="001B7402">
        <w:rPr>
          <w:color w:val="00B050"/>
        </w:rPr>
        <w:t>, and one averaged area,</w:t>
      </w:r>
      <w:r w:rsidR="001B7402" w:rsidRPr="003868FE">
        <w:rPr>
          <w:color w:val="00B050"/>
        </w:rPr>
        <w:t xml:space="preserve"> of </w:t>
      </w:r>
      <w:r w:rsidR="001B7402">
        <w:rPr>
          <w:color w:val="00B050"/>
        </w:rPr>
        <w:t>W</w:t>
      </w:r>
      <w:r w:rsidR="001B7402" w:rsidRPr="003868FE">
        <w:rPr>
          <w:color w:val="00B050"/>
        </w:rPr>
        <w:t xml:space="preserve">oodland </w:t>
      </w:r>
      <w:r w:rsidR="001B7402">
        <w:rPr>
          <w:color w:val="00B050"/>
        </w:rPr>
        <w:t>B</w:t>
      </w:r>
      <w:r w:rsidR="001B7402" w:rsidRPr="003868FE">
        <w:rPr>
          <w:color w:val="00B050"/>
        </w:rPr>
        <w:t xml:space="preserve">oreal </w:t>
      </w:r>
      <w:r w:rsidR="001B7402">
        <w:rPr>
          <w:color w:val="00B050"/>
        </w:rPr>
        <w:t>C</w:t>
      </w:r>
      <w:r w:rsidR="001B7402" w:rsidRPr="003868FE">
        <w:rPr>
          <w:color w:val="00B050"/>
        </w:rPr>
        <w:t xml:space="preserve">aribou in </w:t>
      </w:r>
      <w:r w:rsidR="001B7402">
        <w:rPr>
          <w:color w:val="00B050"/>
        </w:rPr>
        <w:t>Northeastern</w:t>
      </w:r>
      <w:r w:rsidR="001B7402" w:rsidRPr="003868FE">
        <w:rPr>
          <w:color w:val="00B050"/>
        </w:rPr>
        <w:t xml:space="preserve"> British Columbia, Canada, under the presented BRAT framework.</w:t>
      </w:r>
      <w:r w:rsidR="001B7402">
        <w:rPr>
          <w:b/>
        </w:rPr>
        <w:t xml:space="preserve"> </w:t>
      </w:r>
      <w:r w:rsidRPr="001B7402">
        <w:rPr>
          <w:color w:val="00B050"/>
        </w:rPr>
        <w:t>Bolded values are calculated using the BRAT framework. All other values are either derived from literature, data, and assumed constants between populations, or are unknown and assumed to be 1 (unknown effect</w:t>
      </w:r>
      <w:r w:rsidR="00CD214C" w:rsidRPr="001B7402">
        <w:rPr>
          <w:color w:val="00B050"/>
        </w:rPr>
        <w:t xml:space="preserve"> on lambda</w:t>
      </w:r>
      <w:r w:rsidRPr="001B7402">
        <w:rPr>
          <w:color w:val="00B050"/>
        </w:rPr>
        <w:t>), &gt; 1 (positive effect</w:t>
      </w:r>
      <w:r w:rsidR="00CD214C" w:rsidRPr="001B7402">
        <w:rPr>
          <w:color w:val="00B050"/>
        </w:rPr>
        <w:t xml:space="preserve"> on lambda</w:t>
      </w:r>
      <w:r w:rsidRPr="001B7402">
        <w:rPr>
          <w:color w:val="00B050"/>
        </w:rPr>
        <w:t>), or &lt; 1 (negative effect</w:t>
      </w:r>
      <w:r w:rsidR="00CD214C" w:rsidRPr="001B7402">
        <w:rPr>
          <w:color w:val="00B050"/>
        </w:rPr>
        <w:t xml:space="preserve"> on lambda</w:t>
      </w:r>
      <w:r w:rsidRPr="001B7402">
        <w:rPr>
          <w:color w:val="00B050"/>
        </w:rPr>
        <w:t>).</w:t>
      </w:r>
    </w:p>
    <w:tbl>
      <w:tblPr>
        <w:tblStyle w:val="PlainTable2"/>
        <w:tblW w:w="13036" w:type="dxa"/>
        <w:tblLook w:val="04A0" w:firstRow="1" w:lastRow="0" w:firstColumn="1" w:lastColumn="0" w:noHBand="0" w:noVBand="1"/>
      </w:tblPr>
      <w:tblGrid>
        <w:gridCol w:w="1439"/>
        <w:gridCol w:w="803"/>
        <w:gridCol w:w="2998"/>
        <w:gridCol w:w="3402"/>
        <w:gridCol w:w="1701"/>
        <w:gridCol w:w="2693"/>
      </w:tblGrid>
      <w:tr w:rsidR="00B55E34" w:rsidTr="008E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12" w:space="0" w:color="auto"/>
              <w:bottom w:val="single" w:sz="12" w:space="0" w:color="auto"/>
            </w:tcBorders>
          </w:tcPr>
          <w:p w:rsidR="000B04F2" w:rsidRPr="008E6F3D" w:rsidRDefault="000B04F2" w:rsidP="002F52AF">
            <w:pPr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12" w:space="0" w:color="auto"/>
              <w:bottom w:val="single" w:sz="12" w:space="0" w:color="auto"/>
            </w:tcBorders>
          </w:tcPr>
          <w:p w:rsidR="000B04F2" w:rsidRPr="008E6F3D" w:rsidRDefault="000B04F2" w:rsidP="002F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r w:rsidRPr="008E6F3D">
              <w:rPr>
                <w:sz w:val="20"/>
                <w:szCs w:val="20"/>
              </w:rPr>
              <w:t xml:space="preserve">Study </w:t>
            </w:r>
            <w:proofErr w:type="spellStart"/>
            <w:r w:rsidRPr="008E6F3D">
              <w:rPr>
                <w:sz w:val="20"/>
                <w:szCs w:val="20"/>
              </w:rPr>
              <w:t>area</w:t>
            </w:r>
            <w:r w:rsidR="008E6F3D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2998" w:type="dxa"/>
            <w:tcBorders>
              <w:top w:val="single" w:sz="12" w:space="0" w:color="auto"/>
              <w:bottom w:val="single" w:sz="12" w:space="0" w:color="auto"/>
            </w:tcBorders>
          </w:tcPr>
          <w:p w:rsidR="000B04F2" w:rsidRPr="008E6F3D" w:rsidRDefault="000B04F2" w:rsidP="002F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Threat1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0B04F2" w:rsidRPr="008E6F3D" w:rsidRDefault="000B04F2" w:rsidP="002F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Threat2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0B04F2" w:rsidRPr="008E6F3D" w:rsidRDefault="000B04F2" w:rsidP="002F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Threat3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:rsidR="000B04F2" w:rsidRPr="008E6F3D" w:rsidRDefault="000B04F2" w:rsidP="002F5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Threat4</w:t>
            </w:r>
          </w:p>
        </w:tc>
      </w:tr>
      <w:tr w:rsidR="005336C1" w:rsidTr="008E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12" w:space="0" w:color="auto"/>
            </w:tcBorders>
          </w:tcPr>
          <w:p w:rsidR="000B04F2" w:rsidRPr="008E6F3D" w:rsidRDefault="000B04F2" w:rsidP="002F52AF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Initial/current</w:t>
            </w:r>
            <w:r w:rsidR="005336C1" w:rsidRPr="008E6F3D">
              <w:rPr>
                <w:sz w:val="20"/>
                <w:szCs w:val="20"/>
              </w:rPr>
              <w:t xml:space="preserve"> frequency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:rsidR="000B04F2" w:rsidRPr="000B04F2" w:rsidRDefault="000B04F2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12" w:space="0" w:color="auto"/>
            </w:tcBorders>
          </w:tcPr>
          <w:p w:rsidR="000B04F2" w:rsidRPr="000B04F2" w:rsidRDefault="000B04F2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04F2">
              <w:rPr>
                <w:b/>
                <w:sz w:val="20"/>
                <w:szCs w:val="20"/>
              </w:rPr>
              <w:t>0.005</w:t>
            </w:r>
            <w:r>
              <w:rPr>
                <w:sz w:val="20"/>
                <w:szCs w:val="20"/>
              </w:rPr>
              <w:t>/0.117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B04F2" w:rsidRPr="000B04F2" w:rsidRDefault="001B7402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0.374/0.820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0B04F2" w:rsidRPr="000B04F2" w:rsidRDefault="00CD214C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214C">
              <w:rPr>
                <w:b/>
                <w:sz w:val="20"/>
                <w:szCs w:val="20"/>
              </w:rPr>
              <w:t>0.050</w:t>
            </w:r>
            <w:r>
              <w:rPr>
                <w:sz w:val="20"/>
                <w:szCs w:val="20"/>
              </w:rPr>
              <w:t>/0.053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:rsidR="000B04F2" w:rsidRPr="000B04F2" w:rsidRDefault="00CD214C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214C">
              <w:rPr>
                <w:b/>
                <w:sz w:val="20"/>
                <w:szCs w:val="20"/>
              </w:rPr>
              <w:t>0.046</w:t>
            </w:r>
            <w:r>
              <w:rPr>
                <w:sz w:val="20"/>
                <w:szCs w:val="20"/>
              </w:rPr>
              <w:t>/0.053</w:t>
            </w:r>
          </w:p>
        </w:tc>
      </w:tr>
      <w:tr w:rsidR="005336C1" w:rsidTr="008E6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0B04F2" w:rsidRPr="008E6F3D" w:rsidRDefault="005336C1" w:rsidP="002F52AF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Barrier f</w:t>
            </w:r>
            <w:r w:rsidR="000B04F2" w:rsidRPr="008E6F3D">
              <w:rPr>
                <w:sz w:val="20"/>
                <w:szCs w:val="20"/>
              </w:rPr>
              <w:t>requency</w:t>
            </w:r>
          </w:p>
        </w:tc>
        <w:tc>
          <w:tcPr>
            <w:tcW w:w="803" w:type="dxa"/>
          </w:tcPr>
          <w:p w:rsidR="000B04F2" w:rsidRPr="000B04F2" w:rsidRDefault="000B04F2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04F2">
              <w:rPr>
                <w:sz w:val="20"/>
                <w:szCs w:val="20"/>
              </w:rPr>
              <w:t>1</w:t>
            </w:r>
          </w:p>
        </w:tc>
        <w:tc>
          <w:tcPr>
            <w:tcW w:w="2998" w:type="dxa"/>
          </w:tcPr>
          <w:p w:rsidR="00CD214C" w:rsidRDefault="000B04F2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04F2">
              <w:rPr>
                <w:b/>
                <w:sz w:val="20"/>
                <w:szCs w:val="20"/>
              </w:rPr>
              <w:t>1.716</w:t>
            </w:r>
            <w:r w:rsidRPr="000B04F2">
              <w:rPr>
                <w:sz w:val="20"/>
                <w:szCs w:val="20"/>
              </w:rPr>
              <w:t xml:space="preserve">, </w:t>
            </w:r>
          </w:p>
          <w:p w:rsidR="000B04F2" w:rsidRPr="000B04F2" w:rsidRDefault="000B04F2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04F2">
              <w:rPr>
                <w:sz w:val="20"/>
                <w:szCs w:val="20"/>
              </w:rPr>
              <w:t>1.4, 0.65, 1.5,</w:t>
            </w:r>
            <w:r w:rsidR="005336C1">
              <w:rPr>
                <w:sz w:val="20"/>
                <w:szCs w:val="20"/>
              </w:rPr>
              <w:t xml:space="preserve"> 1.00, </w:t>
            </w:r>
            <w:r w:rsidRPr="000B04F2">
              <w:rPr>
                <w:sz w:val="20"/>
                <w:szCs w:val="20"/>
              </w:rPr>
              <w:t xml:space="preserve"> 0.90, 1.00</w:t>
            </w:r>
          </w:p>
        </w:tc>
        <w:tc>
          <w:tcPr>
            <w:tcW w:w="3402" w:type="dxa"/>
          </w:tcPr>
          <w:p w:rsidR="000B04F2" w:rsidRPr="000B04F2" w:rsidRDefault="00CD214C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2.19</w:t>
            </w:r>
          </w:p>
        </w:tc>
        <w:tc>
          <w:tcPr>
            <w:tcW w:w="1701" w:type="dxa"/>
          </w:tcPr>
          <w:p w:rsidR="000B04F2" w:rsidRPr="000B04F2" w:rsidRDefault="00CD214C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1.05, 1.00, 1.00</w:t>
            </w:r>
          </w:p>
        </w:tc>
        <w:tc>
          <w:tcPr>
            <w:tcW w:w="2693" w:type="dxa"/>
          </w:tcPr>
          <w:p w:rsidR="000B04F2" w:rsidRPr="000B04F2" w:rsidRDefault="00CD214C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1.05, 1.05, 1.05, 1.00, 1.00</w:t>
            </w:r>
          </w:p>
        </w:tc>
      </w:tr>
      <w:tr w:rsidR="008E6F3D" w:rsidTr="008E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bottom w:val="single" w:sz="12" w:space="0" w:color="auto"/>
            </w:tcBorders>
          </w:tcPr>
          <w:p w:rsidR="000B04F2" w:rsidRPr="008E6F3D" w:rsidRDefault="005336C1" w:rsidP="002F52AF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 xml:space="preserve">Barrier </w:t>
            </w:r>
            <w:r w:rsidR="000B04F2" w:rsidRPr="008E6F3D">
              <w:rPr>
                <w:sz w:val="20"/>
                <w:szCs w:val="20"/>
              </w:rPr>
              <w:t>lambda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:rsidR="000B04F2" w:rsidRPr="000B04F2" w:rsidRDefault="000B04F2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04F2">
              <w:rPr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bottom w:val="single" w:sz="12" w:space="0" w:color="auto"/>
            </w:tcBorders>
          </w:tcPr>
          <w:p w:rsidR="00CD214C" w:rsidRDefault="000B04F2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214C">
              <w:rPr>
                <w:b/>
                <w:sz w:val="20"/>
                <w:szCs w:val="20"/>
              </w:rPr>
              <w:t>0.039</w:t>
            </w:r>
            <w:r w:rsidR="005336C1">
              <w:rPr>
                <w:sz w:val="20"/>
                <w:szCs w:val="20"/>
              </w:rPr>
              <w:t xml:space="preserve"> </w:t>
            </w:r>
            <w:r w:rsidR="00CD214C">
              <w:rPr>
                <w:sz w:val="20"/>
                <w:szCs w:val="20"/>
              </w:rPr>
              <w:t>(</w:t>
            </w:r>
            <w:r w:rsidR="005336C1">
              <w:rPr>
                <w:b/>
                <w:sz w:val="20"/>
                <w:szCs w:val="20"/>
              </w:rPr>
              <w:t>0.019</w:t>
            </w:r>
            <w:r w:rsidR="00CD214C">
              <w:rPr>
                <w:sz w:val="20"/>
                <w:szCs w:val="20"/>
              </w:rPr>
              <w:t xml:space="preserve"> due to avoidance of wolves, </w:t>
            </w:r>
            <w:r w:rsidR="00CD214C" w:rsidRPr="00CD214C">
              <w:rPr>
                <w:b/>
                <w:sz w:val="20"/>
                <w:szCs w:val="20"/>
              </w:rPr>
              <w:t>0.0310</w:t>
            </w:r>
            <w:r w:rsidR="00CD214C">
              <w:rPr>
                <w:sz w:val="20"/>
                <w:szCs w:val="20"/>
              </w:rPr>
              <w:t xml:space="preserve"> due to avoidance of other/compensatory predators)</w:t>
            </w:r>
            <w:r w:rsidR="005336C1">
              <w:rPr>
                <w:sz w:val="20"/>
                <w:szCs w:val="20"/>
              </w:rPr>
              <w:t>,</w:t>
            </w:r>
          </w:p>
          <w:p w:rsidR="000B04F2" w:rsidRPr="000B04F2" w:rsidRDefault="00B55E34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0.022, -0.019, 0.027, 0.00, -0.006, 0.00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B04F2" w:rsidRPr="000B04F2" w:rsidRDefault="00CD214C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0.447 (0.16 due to avoidance of wolves, 0.27 due to avoidance of other/compensatory predators)</w:t>
            </w:r>
            <w:r w:rsidR="005336C1">
              <w:rPr>
                <w:sz w:val="20"/>
                <w:szCs w:val="20"/>
              </w:rPr>
              <w:t>,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0B04F2" w:rsidRPr="000B04F2" w:rsidRDefault="00CD214C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0.003, 0.00, 0.00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0B04F2" w:rsidRPr="000B04F2" w:rsidRDefault="00CD214C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0.002, 0.002, 0.002, 0.00, 0.00</w:t>
            </w:r>
          </w:p>
        </w:tc>
      </w:tr>
      <w:tr w:rsidR="008E6F3D" w:rsidTr="008E6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12" w:space="0" w:color="auto"/>
            </w:tcBorders>
          </w:tcPr>
          <w:p w:rsidR="00F27AB0" w:rsidRPr="008E6F3D" w:rsidRDefault="00F27AB0" w:rsidP="002F52AF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Initial/current</w:t>
            </w:r>
            <w:r w:rsidR="005336C1" w:rsidRPr="008E6F3D">
              <w:rPr>
                <w:sz w:val="20"/>
                <w:szCs w:val="20"/>
              </w:rPr>
              <w:t xml:space="preserve"> frequency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:rsidR="00F27AB0" w:rsidRPr="000B04F2" w:rsidRDefault="005336C1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12" w:space="0" w:color="auto"/>
            </w:tcBorders>
          </w:tcPr>
          <w:p w:rsidR="00F27AB0" w:rsidRPr="000B04F2" w:rsidRDefault="005336C1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36C1">
              <w:rPr>
                <w:b/>
                <w:sz w:val="20"/>
                <w:szCs w:val="20"/>
              </w:rPr>
              <w:t>0.005</w:t>
            </w:r>
            <w:r>
              <w:rPr>
                <w:sz w:val="20"/>
                <w:szCs w:val="20"/>
              </w:rPr>
              <w:t>/0.054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F27AB0" w:rsidRPr="000B04F2" w:rsidRDefault="005336C1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0.323/0.867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F27AB0" w:rsidRPr="000B04F2" w:rsidRDefault="00B55E34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5E34">
              <w:rPr>
                <w:b/>
                <w:sz w:val="20"/>
                <w:szCs w:val="20"/>
              </w:rPr>
              <w:t>0.054</w:t>
            </w:r>
            <w:r>
              <w:rPr>
                <w:sz w:val="20"/>
                <w:szCs w:val="20"/>
              </w:rPr>
              <w:t>/0.056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:rsidR="00F27AB0" w:rsidRPr="000B04F2" w:rsidRDefault="00B55E34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5E34">
              <w:rPr>
                <w:b/>
                <w:sz w:val="20"/>
                <w:szCs w:val="20"/>
              </w:rPr>
              <w:t>0.049</w:t>
            </w:r>
            <w:r>
              <w:rPr>
                <w:sz w:val="20"/>
                <w:szCs w:val="20"/>
              </w:rPr>
              <w:t>/0.056</w:t>
            </w:r>
          </w:p>
        </w:tc>
      </w:tr>
      <w:tr w:rsidR="00B55E34" w:rsidTr="008E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0B04F2" w:rsidRPr="008E6F3D" w:rsidRDefault="005336C1" w:rsidP="002F52AF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Barrier f</w:t>
            </w:r>
            <w:r w:rsidR="000B04F2" w:rsidRPr="008E6F3D">
              <w:rPr>
                <w:sz w:val="20"/>
                <w:szCs w:val="20"/>
              </w:rPr>
              <w:t>requency</w:t>
            </w:r>
          </w:p>
        </w:tc>
        <w:tc>
          <w:tcPr>
            <w:tcW w:w="803" w:type="dxa"/>
          </w:tcPr>
          <w:p w:rsidR="000B04F2" w:rsidRPr="000B04F2" w:rsidRDefault="005336C1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bottom w:val="single" w:sz="8" w:space="0" w:color="auto"/>
            </w:tcBorders>
          </w:tcPr>
          <w:p w:rsidR="005336C1" w:rsidRDefault="005336C1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36C1">
              <w:rPr>
                <w:b/>
                <w:sz w:val="20"/>
                <w:szCs w:val="20"/>
              </w:rPr>
              <w:t>0.792</w:t>
            </w:r>
            <w:r>
              <w:rPr>
                <w:sz w:val="20"/>
                <w:szCs w:val="20"/>
              </w:rPr>
              <w:t xml:space="preserve">, </w:t>
            </w:r>
          </w:p>
          <w:p w:rsidR="000B04F2" w:rsidRPr="000B04F2" w:rsidRDefault="005336C1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1.40, 0.65, 1.5, 1.00, 0.90, 1.00</w:t>
            </w:r>
          </w:p>
        </w:tc>
        <w:tc>
          <w:tcPr>
            <w:tcW w:w="3402" w:type="dxa"/>
          </w:tcPr>
          <w:p w:rsidR="000B04F2" w:rsidRPr="000B04F2" w:rsidRDefault="001B7402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2.68</w:t>
            </w:r>
          </w:p>
        </w:tc>
        <w:tc>
          <w:tcPr>
            <w:tcW w:w="1701" w:type="dxa"/>
          </w:tcPr>
          <w:p w:rsidR="000B04F2" w:rsidRPr="000B04F2" w:rsidRDefault="00B55E34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1.05, 1.00, 1.00</w:t>
            </w:r>
          </w:p>
        </w:tc>
        <w:tc>
          <w:tcPr>
            <w:tcW w:w="2693" w:type="dxa"/>
          </w:tcPr>
          <w:p w:rsidR="000B04F2" w:rsidRPr="000B04F2" w:rsidRDefault="00B55E34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1.05, 1.05, 1.05, 1.00, 1.00</w:t>
            </w:r>
          </w:p>
        </w:tc>
      </w:tr>
      <w:tr w:rsidR="005336C1" w:rsidTr="008E6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0B04F2" w:rsidRPr="008E6F3D" w:rsidRDefault="005336C1" w:rsidP="002F52AF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lastRenderedPageBreak/>
              <w:t xml:space="preserve">Barrier </w:t>
            </w:r>
            <w:r w:rsidR="000B04F2" w:rsidRPr="008E6F3D">
              <w:rPr>
                <w:sz w:val="20"/>
                <w:szCs w:val="20"/>
              </w:rPr>
              <w:t>lambda</w:t>
            </w:r>
          </w:p>
        </w:tc>
        <w:tc>
          <w:tcPr>
            <w:tcW w:w="803" w:type="dxa"/>
          </w:tcPr>
          <w:p w:rsidR="000B04F2" w:rsidRPr="000B04F2" w:rsidRDefault="005336C1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auto"/>
              <w:bottom w:val="single" w:sz="12" w:space="0" w:color="auto"/>
            </w:tcBorders>
          </w:tcPr>
          <w:p w:rsidR="005336C1" w:rsidRPr="005336C1" w:rsidRDefault="005336C1" w:rsidP="0053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-0.011 </w:t>
            </w:r>
            <w:r>
              <w:rPr>
                <w:sz w:val="20"/>
                <w:szCs w:val="20"/>
              </w:rPr>
              <w:t>(</w:t>
            </w:r>
            <w:r w:rsidRPr="005336C1">
              <w:rPr>
                <w:b/>
                <w:sz w:val="20"/>
                <w:szCs w:val="20"/>
              </w:rPr>
              <w:t>0.019</w:t>
            </w:r>
            <w:r>
              <w:rPr>
                <w:sz w:val="20"/>
                <w:szCs w:val="20"/>
              </w:rPr>
              <w:t xml:space="preserve"> due to avoidance of wolves, </w:t>
            </w:r>
            <w:r w:rsidRPr="005336C1">
              <w:rPr>
                <w:b/>
                <w:sz w:val="20"/>
                <w:szCs w:val="20"/>
              </w:rPr>
              <w:t>0.042</w:t>
            </w:r>
            <w:r>
              <w:rPr>
                <w:sz w:val="20"/>
                <w:szCs w:val="20"/>
              </w:rPr>
              <w:t xml:space="preserve"> due to avoidance of other/compensatory predators)</w:t>
            </w:r>
          </w:p>
          <w:p w:rsidR="000B04F2" w:rsidRPr="000B04F2" w:rsidRDefault="005336C1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0.022, -0.</w:t>
            </w:r>
            <w:r w:rsidR="00B55E34">
              <w:rPr>
                <w:sz w:val="20"/>
                <w:szCs w:val="20"/>
              </w:rPr>
              <w:t>019, 0.028, 0.00, -0.006, 0.00</w:t>
            </w:r>
          </w:p>
        </w:tc>
        <w:tc>
          <w:tcPr>
            <w:tcW w:w="3402" w:type="dxa"/>
          </w:tcPr>
          <w:p w:rsidR="000B04F2" w:rsidRPr="000B04F2" w:rsidRDefault="00C2202E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0.544 (0.167 due to avoidance of wolves, and 0.377 due to avoidance of other/compensatory predators)</w:t>
            </w:r>
          </w:p>
        </w:tc>
        <w:tc>
          <w:tcPr>
            <w:tcW w:w="1701" w:type="dxa"/>
          </w:tcPr>
          <w:p w:rsidR="000B04F2" w:rsidRPr="000B04F2" w:rsidRDefault="00B55E34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0.003, 0.00, 0.00</w:t>
            </w:r>
          </w:p>
        </w:tc>
        <w:tc>
          <w:tcPr>
            <w:tcW w:w="2693" w:type="dxa"/>
          </w:tcPr>
          <w:p w:rsidR="000B04F2" w:rsidRPr="000B04F2" w:rsidRDefault="00B55E34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0.002, 0.002, 0.002, 0.00, 0.00</w:t>
            </w:r>
          </w:p>
        </w:tc>
      </w:tr>
      <w:tr w:rsidR="005336C1" w:rsidTr="008E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12" w:space="0" w:color="auto"/>
            </w:tcBorders>
          </w:tcPr>
          <w:p w:rsidR="00F27AB0" w:rsidRPr="008E6F3D" w:rsidRDefault="00F27AB0" w:rsidP="002F52AF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Initial/current</w:t>
            </w:r>
            <w:r w:rsidR="005336C1" w:rsidRPr="008E6F3D">
              <w:rPr>
                <w:sz w:val="20"/>
                <w:szCs w:val="20"/>
              </w:rPr>
              <w:t xml:space="preserve"> frequency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:rsidR="00F27AB0" w:rsidRPr="000B04F2" w:rsidRDefault="005336C1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998" w:type="dxa"/>
            <w:tcBorders>
              <w:top w:val="single" w:sz="12" w:space="0" w:color="auto"/>
            </w:tcBorders>
          </w:tcPr>
          <w:p w:rsidR="00F27AB0" w:rsidRPr="000B04F2" w:rsidRDefault="001B7402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7402">
              <w:rPr>
                <w:b/>
                <w:sz w:val="20"/>
                <w:szCs w:val="20"/>
              </w:rPr>
              <w:t>0.055</w:t>
            </w:r>
            <w:r>
              <w:rPr>
                <w:sz w:val="20"/>
                <w:szCs w:val="20"/>
              </w:rPr>
              <w:t>/0.086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F27AB0" w:rsidRPr="000B04F2" w:rsidRDefault="001B7402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0.348/0.839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F27AB0" w:rsidRPr="000B04F2" w:rsidRDefault="00847BB7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7BB7">
              <w:rPr>
                <w:b/>
                <w:sz w:val="20"/>
                <w:szCs w:val="20"/>
              </w:rPr>
              <w:t>0.052</w:t>
            </w:r>
            <w:r>
              <w:rPr>
                <w:sz w:val="20"/>
                <w:szCs w:val="20"/>
              </w:rPr>
              <w:t>/0.054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:rsidR="00F27AB0" w:rsidRPr="000B04F2" w:rsidRDefault="00847BB7" w:rsidP="002F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7BB7">
              <w:rPr>
                <w:b/>
                <w:sz w:val="20"/>
                <w:szCs w:val="20"/>
              </w:rPr>
              <w:t>0.047</w:t>
            </w:r>
            <w:r>
              <w:rPr>
                <w:sz w:val="20"/>
                <w:szCs w:val="20"/>
              </w:rPr>
              <w:t>/0.054</w:t>
            </w:r>
          </w:p>
        </w:tc>
      </w:tr>
      <w:tr w:rsidR="00B55E34" w:rsidTr="008E6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0B04F2" w:rsidRPr="008E6F3D" w:rsidRDefault="005336C1" w:rsidP="002F52AF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Barrier f</w:t>
            </w:r>
            <w:r w:rsidR="000B04F2" w:rsidRPr="008E6F3D">
              <w:rPr>
                <w:sz w:val="20"/>
                <w:szCs w:val="20"/>
              </w:rPr>
              <w:t>requency</w:t>
            </w:r>
          </w:p>
        </w:tc>
        <w:tc>
          <w:tcPr>
            <w:tcW w:w="803" w:type="dxa"/>
          </w:tcPr>
          <w:p w:rsidR="000B04F2" w:rsidRPr="000B04F2" w:rsidRDefault="000B04F2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04F2">
              <w:rPr>
                <w:sz w:val="20"/>
                <w:szCs w:val="20"/>
              </w:rPr>
              <w:t>A</w:t>
            </w:r>
          </w:p>
        </w:tc>
        <w:tc>
          <w:tcPr>
            <w:tcW w:w="2998" w:type="dxa"/>
          </w:tcPr>
          <w:p w:rsidR="000B04F2" w:rsidRPr="001B7402" w:rsidRDefault="001B7402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B7402">
              <w:rPr>
                <w:b/>
                <w:sz w:val="20"/>
                <w:szCs w:val="20"/>
              </w:rPr>
              <w:t xml:space="preserve">1.25, </w:t>
            </w:r>
          </w:p>
          <w:p w:rsidR="001B7402" w:rsidRPr="000B04F2" w:rsidRDefault="001B7402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1.40, 0.65, 1.5, 1.00, 0.90, 1.00</w:t>
            </w:r>
          </w:p>
        </w:tc>
        <w:tc>
          <w:tcPr>
            <w:tcW w:w="3402" w:type="dxa"/>
          </w:tcPr>
          <w:p w:rsidR="000B04F2" w:rsidRPr="000B04F2" w:rsidRDefault="001B7402" w:rsidP="001B7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2.41</w:t>
            </w:r>
          </w:p>
        </w:tc>
        <w:tc>
          <w:tcPr>
            <w:tcW w:w="1701" w:type="dxa"/>
          </w:tcPr>
          <w:p w:rsidR="000B04F2" w:rsidRPr="000B04F2" w:rsidRDefault="00847BB7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1.05, 1.00, 1.00</w:t>
            </w:r>
          </w:p>
        </w:tc>
        <w:tc>
          <w:tcPr>
            <w:tcW w:w="2693" w:type="dxa"/>
          </w:tcPr>
          <w:p w:rsidR="000B04F2" w:rsidRPr="000B04F2" w:rsidRDefault="00847BB7" w:rsidP="002F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1.05, 1.05, 1.05, 1.00, 1.00</w:t>
            </w:r>
          </w:p>
        </w:tc>
      </w:tr>
      <w:tr w:rsidR="008E6F3D" w:rsidTr="008E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bottom w:val="single" w:sz="12" w:space="0" w:color="auto"/>
            </w:tcBorders>
          </w:tcPr>
          <w:p w:rsidR="00847BB7" w:rsidRPr="008E6F3D" w:rsidRDefault="00847BB7" w:rsidP="00847BB7">
            <w:pPr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Barrier lambda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:rsidR="00847BB7" w:rsidRPr="000B04F2" w:rsidRDefault="00847BB7" w:rsidP="0084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04F2">
              <w:rPr>
                <w:sz w:val="20"/>
                <w:szCs w:val="20"/>
              </w:rPr>
              <w:t>A</w:t>
            </w:r>
          </w:p>
        </w:tc>
        <w:tc>
          <w:tcPr>
            <w:tcW w:w="2998" w:type="dxa"/>
            <w:tcBorders>
              <w:bottom w:val="single" w:sz="12" w:space="0" w:color="auto"/>
            </w:tcBorders>
          </w:tcPr>
          <w:p w:rsidR="00847BB7" w:rsidRDefault="00847BB7" w:rsidP="0084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7402">
              <w:rPr>
                <w:b/>
                <w:sz w:val="20"/>
                <w:szCs w:val="20"/>
              </w:rPr>
              <w:t>0.014</w:t>
            </w:r>
            <w:r>
              <w:rPr>
                <w:sz w:val="20"/>
                <w:szCs w:val="20"/>
              </w:rPr>
              <w:t xml:space="preserve"> (</w:t>
            </w:r>
            <w:r w:rsidRPr="001B7402">
              <w:rPr>
                <w:b/>
                <w:sz w:val="20"/>
                <w:szCs w:val="20"/>
              </w:rPr>
              <w:t>0.019</w:t>
            </w:r>
            <w:r>
              <w:rPr>
                <w:sz w:val="20"/>
                <w:szCs w:val="20"/>
              </w:rPr>
              <w:t xml:space="preserve"> due to avoidance of wolves, </w:t>
            </w:r>
            <w:r w:rsidRPr="001B7402">
              <w:rPr>
                <w:b/>
                <w:sz w:val="20"/>
                <w:szCs w:val="20"/>
              </w:rPr>
              <w:t>0.036</w:t>
            </w:r>
            <w:r>
              <w:rPr>
                <w:sz w:val="20"/>
                <w:szCs w:val="20"/>
              </w:rPr>
              <w:t xml:space="preserve"> due to avoidance of other/compensatory predators)</w:t>
            </w:r>
          </w:p>
          <w:p w:rsidR="00847BB7" w:rsidRPr="000B04F2" w:rsidRDefault="00847BB7" w:rsidP="0084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0.022, -0.019, 0.028, 0.00, -0.006, 0.00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847BB7" w:rsidRPr="000B04F2" w:rsidRDefault="00847BB7" w:rsidP="0084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0.491 (0.167 due to avoidance of wolves, and 0.324 due to avoidance of other/compensatory predators)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847BB7" w:rsidRPr="000B04F2" w:rsidRDefault="00847BB7" w:rsidP="0084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0.003, 0.00, 0.00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847BB7" w:rsidRPr="000B04F2" w:rsidRDefault="00847BB7" w:rsidP="00847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0.002, 0.002, 0.002, 0.00, 0.00</w:t>
            </w:r>
          </w:p>
        </w:tc>
      </w:tr>
    </w:tbl>
    <w:p w:rsidR="008E6F3D" w:rsidRPr="00363E50" w:rsidRDefault="008E6F3D" w:rsidP="008E6F3D">
      <w:pPr>
        <w:rPr>
          <w:rFonts w:cs="Times New Roman"/>
          <w:color w:val="00B050"/>
          <w:szCs w:val="24"/>
        </w:rPr>
      </w:pPr>
      <w:proofErr w:type="spellStart"/>
      <w:proofErr w:type="gramStart"/>
      <w:r w:rsidRPr="00363E50">
        <w:rPr>
          <w:rFonts w:cs="Times New Roman"/>
          <w:color w:val="00B050"/>
          <w:szCs w:val="24"/>
          <w:vertAlign w:val="superscript"/>
        </w:rPr>
        <w:t>a</w:t>
      </w:r>
      <w:r w:rsidRPr="00363E50">
        <w:rPr>
          <w:rFonts w:cs="Times New Roman"/>
          <w:color w:val="00B050"/>
          <w:szCs w:val="24"/>
        </w:rPr>
        <w:t>Boreal</w:t>
      </w:r>
      <w:proofErr w:type="spellEnd"/>
      <w:proofErr w:type="gramEnd"/>
      <w:r w:rsidRPr="00363E50">
        <w:rPr>
          <w:rFonts w:cs="Times New Roman"/>
          <w:color w:val="00B050"/>
          <w:szCs w:val="24"/>
        </w:rPr>
        <w:t xml:space="preserve"> caribou population d</w:t>
      </w:r>
      <w:r>
        <w:rPr>
          <w:rFonts w:cs="Times New Roman"/>
          <w:color w:val="00B050"/>
          <w:szCs w:val="24"/>
        </w:rPr>
        <w:t>ata used for each study area</w:t>
      </w:r>
      <w:r w:rsidRPr="00363E50">
        <w:rPr>
          <w:rFonts w:cs="Times New Roman"/>
          <w:color w:val="00B050"/>
          <w:szCs w:val="24"/>
        </w:rPr>
        <w:t xml:space="preserve">: </w:t>
      </w:r>
    </w:p>
    <w:p w:rsidR="008E6F3D" w:rsidRPr="00363E50" w:rsidRDefault="008E6F3D" w:rsidP="008E6F3D">
      <w:pPr>
        <w:pStyle w:val="ListParagraph"/>
        <w:numPr>
          <w:ilvl w:val="0"/>
          <w:numId w:val="3"/>
        </w:numPr>
        <w:rPr>
          <w:color w:val="00B050"/>
        </w:rPr>
      </w:pPr>
      <w:r w:rsidRPr="00363E50">
        <w:rPr>
          <w:color w:val="00B050"/>
        </w:rPr>
        <w:t>Chinchaga herd (N = 250, recruitment = 0.13, adult female survival = 0.87; ECCC 2008; Appendix 6.5 Table 1),</w:t>
      </w:r>
    </w:p>
    <w:p w:rsidR="008E6F3D" w:rsidRDefault="008E6F3D" w:rsidP="008E6F3D">
      <w:pPr>
        <w:pStyle w:val="ListParagraph"/>
        <w:numPr>
          <w:ilvl w:val="0"/>
          <w:numId w:val="3"/>
        </w:numPr>
        <w:rPr>
          <w:color w:val="00B050"/>
        </w:rPr>
      </w:pPr>
      <w:r w:rsidRPr="00363E50">
        <w:rPr>
          <w:color w:val="00B050"/>
        </w:rPr>
        <w:t>Snake-</w:t>
      </w:r>
      <w:proofErr w:type="spellStart"/>
      <w:r w:rsidRPr="00363E50">
        <w:rPr>
          <w:color w:val="00B050"/>
        </w:rPr>
        <w:t>Sahtahneh</w:t>
      </w:r>
      <w:proofErr w:type="spellEnd"/>
      <w:r w:rsidRPr="00363E50">
        <w:rPr>
          <w:color w:val="00B050"/>
        </w:rPr>
        <w:t xml:space="preserve"> herd (N = 360, recruitment = 0.072, adult female survival = 0.94; ECCC 2008; Appendix 6.5 Table 1).</w:t>
      </w:r>
    </w:p>
    <w:p w:rsidR="008E6F3D" w:rsidRPr="00A86B74" w:rsidRDefault="008E6F3D" w:rsidP="008E6F3D">
      <w:pPr>
        <w:ind w:left="720"/>
        <w:rPr>
          <w:color w:val="00B050"/>
        </w:rPr>
      </w:pPr>
      <w:r w:rsidRPr="00A86B74">
        <w:rPr>
          <w:color w:val="00B050"/>
        </w:rPr>
        <w:t>A - Average of Chinchaga and Snake-</w:t>
      </w:r>
      <w:proofErr w:type="spellStart"/>
      <w:r w:rsidRPr="00A86B74">
        <w:rPr>
          <w:color w:val="00B050"/>
        </w:rPr>
        <w:t>Sahtahneh</w:t>
      </w:r>
      <w:proofErr w:type="spellEnd"/>
      <w:r w:rsidRPr="00A86B74">
        <w:rPr>
          <w:color w:val="00B050"/>
        </w:rPr>
        <w:t xml:space="preserve"> herd demography (N = 305, recruitment = 0.105, adult female survival = 0.905)</w:t>
      </w:r>
    </w:p>
    <w:p w:rsidR="000B04F2" w:rsidRPr="000B04F2" w:rsidRDefault="000B04F2" w:rsidP="002F52AF">
      <w:pPr>
        <w:rPr>
          <w:b/>
        </w:rPr>
      </w:pPr>
    </w:p>
    <w:sectPr w:rsidR="000B04F2" w:rsidRPr="000B04F2" w:rsidSect="0072722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612"/>
    <w:multiLevelType w:val="hybridMultilevel"/>
    <w:tmpl w:val="CC6E4796"/>
    <w:lvl w:ilvl="0" w:tplc="0C3486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3718A7"/>
    <w:multiLevelType w:val="hybridMultilevel"/>
    <w:tmpl w:val="CC6E4796"/>
    <w:lvl w:ilvl="0" w:tplc="0C3486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2B"/>
    <w:rsid w:val="000B04F2"/>
    <w:rsid w:val="001604EA"/>
    <w:rsid w:val="001B7402"/>
    <w:rsid w:val="001C5229"/>
    <w:rsid w:val="001F57E1"/>
    <w:rsid w:val="002A37F5"/>
    <w:rsid w:val="002F52AF"/>
    <w:rsid w:val="005336C1"/>
    <w:rsid w:val="0072722B"/>
    <w:rsid w:val="00846CCD"/>
    <w:rsid w:val="00847BB7"/>
    <w:rsid w:val="008E6F3D"/>
    <w:rsid w:val="00B55E34"/>
    <w:rsid w:val="00C2202E"/>
    <w:rsid w:val="00CD214C"/>
    <w:rsid w:val="00F2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967E"/>
  <w15:chartTrackingRefBased/>
  <w15:docId w15:val="{8BD84A0B-F0F9-45EF-BC57-A66EF396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AF"/>
    <w:pPr>
      <w:spacing w:before="120" w:after="240" w:line="24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"/>
    <w:qFormat/>
    <w:rsid w:val="002F52AF"/>
    <w:pPr>
      <w:numPr>
        <w:numId w:val="1"/>
      </w:numPr>
      <w:contextualSpacing/>
    </w:pPr>
    <w:rPr>
      <w:rFonts w:eastAsia="Cambria" w:cs="Times New Roman"/>
      <w:szCs w:val="24"/>
    </w:rPr>
  </w:style>
  <w:style w:type="table" w:styleId="PlainTable2">
    <w:name w:val="Plain Table 2"/>
    <w:basedOn w:val="TableNormal"/>
    <w:uiPriority w:val="42"/>
    <w:rsid w:val="002F52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B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4F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F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fstewart</dc:creator>
  <cp:keywords/>
  <dc:description/>
  <cp:lastModifiedBy>fstewart</cp:lastModifiedBy>
  <cp:revision>2</cp:revision>
  <dcterms:created xsi:type="dcterms:W3CDTF">2019-02-08T21:59:00Z</dcterms:created>
  <dcterms:modified xsi:type="dcterms:W3CDTF">2019-02-08T21:59:00Z</dcterms:modified>
</cp:coreProperties>
</file>