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SOFTWARE REQUIREMENT SPECIFICATION (SRS)</w:t>
        <w:br/>
        <w:t>BarangayPay Resident Services Portal API, Database, and Technical Specifications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Document ID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SRS-BP-RESIDENT-2026-V1.0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Parent Documents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BRD-BP-RESIDENT-2026-V1.0 and FRD-BP-RESIDENT-2026-V1.0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Target System Architecture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Responsive web client with REST API, relational database, document storage, and PayMongo payment integration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Primary Author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BarangayPay Product and QA Team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Verification Tools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Postman, Playwright, SQL test queries, and application logs</w:t>
            </w:r>
          </w:p>
        </w:tc>
      </w:tr>
    </w:tbl>
    <w:p>
      <w:pPr>
        <w:spacing w:after="240"/>
      </w:pPr>
    </w:p>
    <w:p>
      <w:pPr>
        <w:pStyle w:val="Heading1"/>
      </w:pPr>
      <w:r>
        <w:t>1. REST API Interface Specification (Postman and Playwright Verification)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HTTP Endpoint and Method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Interface Specification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POST /api/v1/auth/login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{"request": {"email": "resident@example.com", "password": "&lt;password&gt;"}, "response": {"access_token": "&lt;JWT&gt;", "user_id": "USR-0001", "expires_in": 3600}}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GET /api/v1/services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Returns active service records with service_id, name, description, availability, requirements, and fee configuration.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POST /api/v1/service-requests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{"service_id": "SRV-BC", "first_name": "Juan", "last_name": "Dela Cruz", "middle_name": "Santos", "contact_number": "09171234567", "address": "123 Mactan St.", "purpose": "employment", "preferred_date": "2026-10-15", "request_notes": "Please prepare for pickup."}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Request Headers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Authorization: Bearer &lt;JWT&gt;</w:t>
              <w:br/>
              <w:t>Content-Type: application/json</w:t>
              <w:br/>
              <w:t>X-Request-ID: &lt;UUID&gt;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POST /api/v1/service-requests/{request_id}/documents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Multipart upload for one or more PDF, JPG, JPEG, or PNG supporting documents. Returns document_id and validation status for each file.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POST /api/v1/service-requests/{request_id}/submit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Validates required data and confirmation acknowledgement, creates a transaction reference, and sets the request status to PENDING.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POST /api/v1/payments/checkout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{"request_id": "REQ-0001", "amount": 150.00, "currency": "PHP", "return_url": "https://barangaypay.example/payments/return"}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Success Response (201 Created)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{"status": "PENDING", "request_id": "REQ-0001", "transaction_ref": "BP-20260927-0001", "payment_status": "NOT_REQUIRED", "created_at": "2026-09-27T10:00:00Z"}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Error Response (422 Unprocessable)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8"/>
              </w:rPr>
              <w:t>{"status": "FAILED", "error_code": "ERR-BP-103", "message": "Complete all required information before continuing.", "field_errors": {"contact_number": "Required"}}</w:t>
            </w:r>
          </w:p>
        </w:tc>
      </w:tr>
    </w:tbl>
    <w:p>
      <w:pPr>
        <w:spacing w:after="240"/>
      </w:pPr>
    </w:p>
    <w:p>
      <w:pPr>
        <w:pStyle w:val="Heading1"/>
      </w:pPr>
      <w:r>
        <w:t>2. Database Schema and Data Models (PostgreSQL and Document Storage)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Target Database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Table or Collection Name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Field Name and Data Type</w:t>
            </w:r>
          </w:p>
        </w:tc>
        <w:tc>
          <w:tcPr>
            <w:tcW w:type="dxa" w:w="234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QA Validation Query Example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PostgreSQL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user_id (UUID PK)</w:t>
              <w:br/>
              <w:t>email (VARCHAR UNIQUE)</w:t>
              <w:br/>
              <w:t>password_hash (VARCHAR)</w:t>
              <w:br/>
              <w:t>role (VARCHAR)</w:t>
              <w:br/>
              <w:t>status (VARCHAR)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SELECT status, role FROM users WHERE email = 'resident@example.com';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PostgreSQL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service_id (UUID PK)</w:t>
              <w:br/>
              <w:t>name (VARCHAR)</w:t>
              <w:br/>
              <w:t>description (TEXT)</w:t>
              <w:br/>
              <w:t>fee (NUMERIC(10,2))</w:t>
              <w:br/>
              <w:t>is_active (BOOLEAN)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SELECT name, fee FROM services WHERE is_active = TRUE ORDER BY name;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PostgreSQL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service_requests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request_id (UUID PK)</w:t>
              <w:br/>
              <w:t>user_id (UUID FK)</w:t>
              <w:br/>
              <w:t>service_id (UUID FK)</w:t>
              <w:br/>
              <w:t>status (VARCHAR)</w:t>
              <w:br/>
              <w:t>purpose (VARCHAR)</w:t>
              <w:br/>
              <w:t>preferred_date (DATE)</w:t>
              <w:br/>
              <w:t>created_at (TIMESTAMP)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SELECT status FROM service_requests WHERE request_id = 'REQ-0001';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PostgreSQL plus object storage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request_documents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document_id (UUID PK)</w:t>
              <w:br/>
              <w:t>request_id (UUID FK)</w:t>
              <w:br/>
              <w:t>storage_key (VARCHAR)</w:t>
              <w:br/>
              <w:t>file_name (VARCHAR)</w:t>
              <w:br/>
              <w:t>mime_type (VARCHAR)</w:t>
              <w:br/>
              <w:t>validation_status (VARCHAR)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SELECT file_name, validation_status FROM request_documents WHERE request_id = 'REQ-0001';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PostgreSQL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payments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payment_id (UUID PK)</w:t>
              <w:br/>
              <w:t>request_id (UUID FK)</w:t>
              <w:br/>
              <w:t>provider_reference (VARCHAR)</w:t>
              <w:br/>
              <w:t>amount (NUMERIC(10,2))</w:t>
              <w:br/>
              <w:t>status (VARCHAR)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SELECT status, amount FROM payments WHERE request_id = 'REQ-0001';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PostgreSQL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request_status_history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history_id (BIGSERIAL PK)</w:t>
              <w:br/>
              <w:t>request_id (UUID FK)</w:t>
              <w:br/>
              <w:t>old_status (VARCHAR)</w:t>
              <w:br/>
              <w:t>new_status (VARCHAR)</w:t>
              <w:br/>
              <w:t>changed_at (TIMESTAMP)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SELECT old_status, new_status FROM request_status_history WHERE request_id = 'REQ-0001' ORDER BY changed_at;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Document storage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audit_events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event_id (UUID)</w:t>
              <w:br/>
              <w:t>actor_id (UUID)</w:t>
              <w:br/>
              <w:t>entity_type (VARCHAR)</w:t>
              <w:br/>
              <w:t>entity_id (UUID)</w:t>
              <w:br/>
              <w:t>action (VARCHAR)</w:t>
              <w:br/>
              <w:t>created_at (TIMESTAMP)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Find audit_events where entity_id = 'REQ-0001' sorted by created_at ascending.</w:t>
            </w:r>
          </w:p>
        </w:tc>
      </w:tr>
    </w:tbl>
    <w:p>
      <w:pPr>
        <w:spacing w:after="240"/>
      </w:pPr>
    </w:p>
    <w:p>
      <w:pPr>
        <w:pStyle w:val="Heading1"/>
      </w:pPr>
      <w:r>
        <w:t>3. Non-Functional Requirements (NFR)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NFR Domain</w:t>
            </w:r>
          </w:p>
        </w:tc>
        <w:tc>
          <w:tcPr>
            <w:tcW w:type="dxa" w:w="312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Technical Requirement Specification</w:t>
            </w:r>
          </w:p>
        </w:tc>
        <w:tc>
          <w:tcPr>
            <w:tcW w:type="dxa" w:w="312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Verification Tool and Method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P95 API response time shall be no more than 2 seconds under 100 concurrent resident sessions, excluding third-party payment response time.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Postman collection runner or k6 load test with API metrics.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Data Security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All authenticated endpoints shall require TLS, JWT validation, server-side authorization, parameterized queries, and encrypted password storage. Uploaded files shall be type-checked before storage.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OWASP ZAP, dependency scanning, API security tests, and code review.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Availability and Recovery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The service portal shall target 99.5% monthly availability, use health checks, and preserve request and payment records during an API restart or provider timeout.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Synthetic monitoring, restart testing, backup-restore test, and payment timeout simulation.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Privacy and Auditability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Personal information, uploaded-document access, status changes, and payment events shall be logged with actor and timestamp. Access shall be limited by user role and request ownership.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SQL audit queries, authorization tests, and retention review.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Usability and Accessibility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The resident workflow shall remain usable on desktop and mobile widths, provide field-level validation, and expose labels and status messages to keyboard and assistive-technology users.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Playwright responsive tests, keyboard-only review, and accessibility audit.</w:t>
            </w:r>
          </w:p>
        </w:tc>
      </w:tr>
    </w:tbl>
    <w:p>
      <w:pPr>
        <w:spacing w:after="240"/>
      </w:pPr>
    </w:p>
    <w:p>
      <w:pPr>
        <w:pStyle w:val="Heading1"/>
      </w:pPr>
      <w:r>
        <w:t>4. End-to-End Requirement Traceability Matrix (RTM)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BRD Requirement ID</w:t>
            </w:r>
          </w:p>
        </w:tc>
        <w:tc>
          <w:tcPr>
            <w:tcW w:type="dxa" w:w="156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FRD Feature ID</w:t>
            </w:r>
          </w:p>
        </w:tc>
        <w:tc>
          <w:tcPr>
            <w:tcW w:type="dxa" w:w="156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SRS Technical Specification</w:t>
            </w:r>
          </w:p>
        </w:tc>
        <w:tc>
          <w:tcPr>
            <w:tcW w:type="dxa" w:w="156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Test Case ID</w:t>
            </w:r>
          </w:p>
        </w:tc>
        <w:tc>
          <w:tcPr>
            <w:tcW w:type="dxa" w:w="156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Automation Script</w:t>
            </w:r>
          </w:p>
        </w:tc>
        <w:tc>
          <w:tcPr>
            <w:tcW w:type="dxa" w:w="1560"/>
            <w:shd w:fill="0052CC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Defect ID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BRD-BP-01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US-BP-101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POST /api/v1/auth/login and users query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TC_BP_AUTH_001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test_login.spec.js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BRD-BP-02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US-BP-102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GET /api/v1/services and services table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TC_BP_SERVICE_001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test_service_catalog.spec.js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BRD-BP-03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US-BP-103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POST /service-requests plus request_documents validation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TC_BP_REQUEST_001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test_request_submission.spec.js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BRD-BP-04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US-BP-104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POST /payments/checkout and payments status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TC_BP_PAYMENT_001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test_payment_flow.spec.js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BRD-BP-05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BR-BP-08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request_status_history and GET request status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TC_BP_STATUS_001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test_status_tracking.spec.js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SRS-GCASH-SEND-2026-V1.0 • Confidential &amp; Proprietary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GCash Financial Technology • Software Requirement Specification (SRS)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F8C8D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F8C8D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52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BarangayPay Software Requirement Specification</dc:title>
  <dc:subject>Technical requirements for the BarangayPay resident services portal</dc:subject>
  <dc:creator>BarangayPay Product and 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