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532" w:rsidRPr="00C879B2" w:rsidRDefault="000A6532" w:rsidP="00713300">
      <w:pPr>
        <w:spacing w:line="360" w:lineRule="auto"/>
        <w:jc w:val="both"/>
        <w:rPr>
          <w:rFonts w:cstheme="minorHAnsi"/>
          <w:b/>
          <w:sz w:val="24"/>
          <w:szCs w:val="24"/>
        </w:rPr>
      </w:pPr>
      <w:r w:rsidRPr="00C879B2">
        <w:rPr>
          <w:rFonts w:cstheme="minorHAnsi"/>
          <w:b/>
          <w:sz w:val="24"/>
          <w:szCs w:val="24"/>
        </w:rPr>
        <w:t>PROJECT NAME: SYFERFONTEIN MEGA DEVELOPMENT</w:t>
      </w:r>
    </w:p>
    <w:p w:rsidR="000A6532" w:rsidRPr="00C879B2" w:rsidRDefault="000A6532" w:rsidP="00713300">
      <w:pPr>
        <w:spacing w:line="360" w:lineRule="auto"/>
        <w:jc w:val="both"/>
        <w:rPr>
          <w:rFonts w:cstheme="minorHAnsi"/>
          <w:b/>
          <w:sz w:val="24"/>
          <w:szCs w:val="24"/>
        </w:rPr>
      </w:pPr>
      <w:r w:rsidRPr="00C879B2">
        <w:rPr>
          <w:rFonts w:cstheme="minorHAnsi"/>
          <w:b/>
          <w:sz w:val="24"/>
          <w:szCs w:val="24"/>
        </w:rPr>
        <w:t>PROJECT LOCATION: RAND WEST CITY, GAUTENG</w:t>
      </w:r>
    </w:p>
    <w:p w:rsidR="000A6532" w:rsidRPr="00C879B2" w:rsidRDefault="000A6532" w:rsidP="00713300">
      <w:pPr>
        <w:spacing w:line="360" w:lineRule="auto"/>
        <w:jc w:val="both"/>
        <w:rPr>
          <w:rFonts w:cstheme="minorHAnsi"/>
          <w:b/>
          <w:sz w:val="24"/>
          <w:szCs w:val="24"/>
        </w:rPr>
      </w:pPr>
      <w:r w:rsidRPr="00C879B2">
        <w:rPr>
          <w:rFonts w:cstheme="minorHAnsi"/>
          <w:b/>
          <w:sz w:val="24"/>
          <w:szCs w:val="24"/>
        </w:rPr>
        <w:t>PROJECT VALUE: R 36BN</w:t>
      </w:r>
    </w:p>
    <w:p w:rsidR="00713300" w:rsidRPr="00242DCC" w:rsidRDefault="000A6532" w:rsidP="00713300">
      <w:pPr>
        <w:spacing w:line="360" w:lineRule="auto"/>
        <w:jc w:val="both"/>
        <w:rPr>
          <w:rFonts w:cstheme="minorHAnsi"/>
          <w:b/>
          <w:sz w:val="24"/>
          <w:szCs w:val="24"/>
        </w:rPr>
      </w:pPr>
      <w:r w:rsidRPr="00C879B2">
        <w:rPr>
          <w:rFonts w:cstheme="minorHAnsi"/>
          <w:b/>
          <w:sz w:val="24"/>
          <w:szCs w:val="24"/>
        </w:rPr>
        <w:t xml:space="preserve">PROJECT SUMMARY:  </w:t>
      </w:r>
    </w:p>
    <w:p w:rsidR="00713300" w:rsidRDefault="00713300" w:rsidP="00713300">
      <w:pPr>
        <w:spacing w:line="360" w:lineRule="auto"/>
        <w:jc w:val="both"/>
        <w:rPr>
          <w:rFonts w:cstheme="minorHAnsi"/>
          <w:sz w:val="24"/>
          <w:szCs w:val="24"/>
        </w:rPr>
      </w:pPr>
      <w:r w:rsidRPr="00C879B2">
        <w:rPr>
          <w:rFonts w:cstheme="minorHAnsi"/>
          <w:sz w:val="24"/>
          <w:szCs w:val="24"/>
        </w:rPr>
        <w:t>LTE has been a partner to government in the planning, designing and implementation of low cost housing units since 2003. As a Professional Resource Team panel member at metropolitan, provincial and national levels, LTE has been involved in numerous projects across South Africa from Greenfields to Title Deed handover. Our expertise covers ground and environmental studies, spatial planning, bulk infrastructure and internal reticulation planning and design, architectural and structural designs, construction and construction management, and conveyancing.</w:t>
      </w:r>
    </w:p>
    <w:p w:rsidR="00242DCC" w:rsidRDefault="00242DCC" w:rsidP="00242DCC">
      <w:pPr>
        <w:spacing w:line="360" w:lineRule="auto"/>
        <w:jc w:val="both"/>
        <w:rPr>
          <w:rFonts w:cstheme="minorHAnsi"/>
          <w:b/>
          <w:sz w:val="24"/>
          <w:szCs w:val="24"/>
        </w:rPr>
      </w:pPr>
    </w:p>
    <w:p w:rsidR="00242DCC" w:rsidRPr="00C879B2" w:rsidRDefault="00242DCC" w:rsidP="00242DCC">
      <w:pPr>
        <w:spacing w:line="360" w:lineRule="auto"/>
        <w:jc w:val="both"/>
        <w:rPr>
          <w:rFonts w:cstheme="minorHAnsi"/>
          <w:b/>
          <w:sz w:val="24"/>
          <w:szCs w:val="24"/>
        </w:rPr>
      </w:pPr>
      <w:r w:rsidRPr="00C879B2">
        <w:rPr>
          <w:rFonts w:cstheme="minorHAnsi"/>
          <w:b/>
          <w:sz w:val="24"/>
          <w:szCs w:val="24"/>
        </w:rPr>
        <w:t>CONTINUE TO DETAILED PROJECT SUMMARY</w:t>
      </w:r>
    </w:p>
    <w:p w:rsidR="00242DCC" w:rsidRPr="00713300" w:rsidRDefault="00242DCC" w:rsidP="00713300">
      <w:pPr>
        <w:spacing w:line="360" w:lineRule="auto"/>
        <w:jc w:val="both"/>
        <w:rPr>
          <w:rFonts w:cstheme="minorHAnsi"/>
          <w:sz w:val="24"/>
          <w:szCs w:val="24"/>
        </w:rPr>
      </w:pP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The availability of developable land in Gauteng i</w:t>
      </w:r>
      <w:r w:rsidR="00DD0143">
        <w:rPr>
          <w:rFonts w:cstheme="minorHAnsi"/>
          <w:sz w:val="24"/>
          <w:szCs w:val="24"/>
          <w:lang w:val="en-ZA"/>
        </w:rPr>
        <w:t xml:space="preserve">s </w:t>
      </w:r>
      <w:r w:rsidRPr="00C879B2">
        <w:rPr>
          <w:rFonts w:cstheme="minorHAnsi"/>
          <w:sz w:val="24"/>
          <w:szCs w:val="24"/>
          <w:lang w:val="en-ZA"/>
        </w:rPr>
        <w:t>becoming critica</w:t>
      </w:r>
      <w:r w:rsidR="00DD0143">
        <w:rPr>
          <w:rFonts w:cstheme="minorHAnsi"/>
          <w:sz w:val="24"/>
          <w:szCs w:val="24"/>
          <w:lang w:val="en-ZA"/>
        </w:rPr>
        <w:t xml:space="preserve">l whilst the demand for housing </w:t>
      </w:r>
      <w:r w:rsidRPr="00C879B2">
        <w:rPr>
          <w:rFonts w:cstheme="minorHAnsi"/>
          <w:sz w:val="24"/>
          <w:szCs w:val="24"/>
          <w:lang w:val="en-ZA"/>
        </w:rPr>
        <w:t>is rapidly escalat</w:t>
      </w:r>
      <w:r w:rsidR="00DD0143">
        <w:rPr>
          <w:rFonts w:cstheme="minorHAnsi"/>
          <w:sz w:val="24"/>
          <w:szCs w:val="24"/>
          <w:lang w:val="en-ZA"/>
        </w:rPr>
        <w:t xml:space="preserve">ing. This has prompted the call </w:t>
      </w:r>
      <w:r w:rsidRPr="00C879B2">
        <w:rPr>
          <w:rFonts w:cstheme="minorHAnsi"/>
          <w:sz w:val="24"/>
          <w:szCs w:val="24"/>
          <w:lang w:val="en-ZA"/>
        </w:rPr>
        <w:t>for innovative des</w:t>
      </w:r>
      <w:r w:rsidR="00DD0143">
        <w:rPr>
          <w:rFonts w:cstheme="minorHAnsi"/>
          <w:sz w:val="24"/>
          <w:szCs w:val="24"/>
          <w:lang w:val="en-ZA"/>
        </w:rPr>
        <w:t xml:space="preserve">ign and a shift in the mind-set </w:t>
      </w:r>
      <w:r w:rsidRPr="00C879B2">
        <w:rPr>
          <w:rFonts w:cstheme="minorHAnsi"/>
          <w:sz w:val="24"/>
          <w:szCs w:val="24"/>
          <w:lang w:val="en-ZA"/>
        </w:rPr>
        <w:t>with regard to the r</w:t>
      </w:r>
      <w:r w:rsidR="00DD0143">
        <w:rPr>
          <w:rFonts w:cstheme="minorHAnsi"/>
          <w:sz w:val="24"/>
          <w:szCs w:val="24"/>
          <w:lang w:val="en-ZA"/>
        </w:rPr>
        <w:t xml:space="preserve">ollout of housing opportunities </w:t>
      </w:r>
      <w:r w:rsidRPr="00C879B2">
        <w:rPr>
          <w:rFonts w:cstheme="minorHAnsi"/>
          <w:sz w:val="24"/>
          <w:szCs w:val="24"/>
          <w:lang w:val="en-ZA"/>
        </w:rPr>
        <w:t>in Gauteng,</w:t>
      </w:r>
      <w:r w:rsidR="00DD0143">
        <w:rPr>
          <w:rFonts w:cstheme="minorHAnsi"/>
          <w:sz w:val="24"/>
          <w:szCs w:val="24"/>
          <w:lang w:val="en-ZA"/>
        </w:rPr>
        <w:t xml:space="preserve"> and subsequently, the country. </w:t>
      </w:r>
      <w:r w:rsidRPr="00C879B2">
        <w:rPr>
          <w:rFonts w:cstheme="minorHAnsi"/>
          <w:sz w:val="24"/>
          <w:szCs w:val="24"/>
          <w:lang w:val="en-ZA"/>
        </w:rPr>
        <w:t>Detailed En</w:t>
      </w:r>
      <w:r w:rsidR="00DD0143">
        <w:rPr>
          <w:rFonts w:cstheme="minorHAnsi"/>
          <w:sz w:val="24"/>
          <w:szCs w:val="24"/>
          <w:lang w:val="en-ZA"/>
        </w:rPr>
        <w:t xml:space="preserve">gineering studies for Roads and </w:t>
      </w:r>
      <w:r w:rsidRPr="00C879B2">
        <w:rPr>
          <w:rFonts w:cstheme="minorHAnsi"/>
          <w:sz w:val="24"/>
          <w:szCs w:val="24"/>
          <w:lang w:val="en-ZA"/>
        </w:rPr>
        <w:t>Stormwater, Wat</w:t>
      </w:r>
      <w:r w:rsidR="00DD0143">
        <w:rPr>
          <w:rFonts w:cstheme="minorHAnsi"/>
          <w:sz w:val="24"/>
          <w:szCs w:val="24"/>
          <w:lang w:val="en-ZA"/>
        </w:rPr>
        <w:t xml:space="preserve">er and Sanitation, Electricity, </w:t>
      </w:r>
      <w:r w:rsidRPr="00C879B2">
        <w:rPr>
          <w:rFonts w:cstheme="minorHAnsi"/>
          <w:sz w:val="24"/>
          <w:szCs w:val="24"/>
          <w:lang w:val="en-ZA"/>
        </w:rPr>
        <w:t>Traffic and Transport</w:t>
      </w:r>
      <w:r w:rsidR="00DD0143">
        <w:rPr>
          <w:rFonts w:cstheme="minorHAnsi"/>
          <w:sz w:val="24"/>
          <w:szCs w:val="24"/>
          <w:lang w:val="en-ZA"/>
        </w:rPr>
        <w:t xml:space="preserve">ation, and Waste Use Management </w:t>
      </w:r>
      <w:r w:rsidRPr="00C879B2">
        <w:rPr>
          <w:rFonts w:cstheme="minorHAnsi"/>
          <w:sz w:val="24"/>
          <w:szCs w:val="24"/>
          <w:lang w:val="en-ZA"/>
        </w:rPr>
        <w:t>hav</w:t>
      </w:r>
      <w:r w:rsidR="00DD0143">
        <w:rPr>
          <w:rFonts w:cstheme="minorHAnsi"/>
          <w:sz w:val="24"/>
          <w:szCs w:val="24"/>
          <w:lang w:val="en-ZA"/>
        </w:rPr>
        <w:t xml:space="preserve">e been concluded to ensure that </w:t>
      </w:r>
      <w:r w:rsidRPr="00C879B2">
        <w:rPr>
          <w:rFonts w:cstheme="minorHAnsi"/>
          <w:sz w:val="24"/>
          <w:szCs w:val="24"/>
          <w:lang w:val="en-ZA"/>
        </w:rPr>
        <w:t>bulk and link supply a</w:t>
      </w:r>
      <w:r w:rsidR="00DD0143">
        <w:rPr>
          <w:rFonts w:cstheme="minorHAnsi"/>
          <w:sz w:val="24"/>
          <w:szCs w:val="24"/>
          <w:lang w:val="en-ZA"/>
        </w:rPr>
        <w:t xml:space="preserve">s well as internal reticulation </w:t>
      </w:r>
      <w:r w:rsidRPr="00C879B2">
        <w:rPr>
          <w:rFonts w:cstheme="minorHAnsi"/>
          <w:sz w:val="24"/>
          <w:szCs w:val="24"/>
          <w:lang w:val="en-ZA"/>
        </w:rPr>
        <w:t>is adequately des</w:t>
      </w:r>
      <w:r w:rsidR="00DD0143">
        <w:rPr>
          <w:rFonts w:cstheme="minorHAnsi"/>
          <w:sz w:val="24"/>
          <w:szCs w:val="24"/>
          <w:lang w:val="en-ZA"/>
        </w:rPr>
        <w:t xml:space="preserve">igned for a development of this </w:t>
      </w:r>
      <w:r w:rsidRPr="00C879B2">
        <w:rPr>
          <w:rFonts w:cstheme="minorHAnsi"/>
          <w:sz w:val="24"/>
          <w:szCs w:val="24"/>
          <w:lang w:val="en-ZA"/>
        </w:rPr>
        <w:t>magnitude. Accordi</w:t>
      </w:r>
      <w:r w:rsidR="00DD0143">
        <w:rPr>
          <w:rFonts w:cstheme="minorHAnsi"/>
          <w:sz w:val="24"/>
          <w:szCs w:val="24"/>
          <w:lang w:val="en-ZA"/>
        </w:rPr>
        <w:t xml:space="preserve">ngly, the LTE design team is in </w:t>
      </w:r>
      <w:r w:rsidRPr="00C879B2">
        <w:rPr>
          <w:rFonts w:cstheme="minorHAnsi"/>
          <w:sz w:val="24"/>
          <w:szCs w:val="24"/>
          <w:lang w:val="en-ZA"/>
        </w:rPr>
        <w:t>constant liaison wi</w:t>
      </w:r>
      <w:r w:rsidR="00DD0143">
        <w:rPr>
          <w:rFonts w:cstheme="minorHAnsi"/>
          <w:sz w:val="24"/>
          <w:szCs w:val="24"/>
          <w:lang w:val="en-ZA"/>
        </w:rPr>
        <w:t xml:space="preserve">th the relevant authorities for </w:t>
      </w:r>
      <w:r w:rsidRPr="00C879B2">
        <w:rPr>
          <w:rFonts w:cstheme="minorHAnsi"/>
          <w:sz w:val="24"/>
          <w:szCs w:val="24"/>
          <w:lang w:val="en-ZA"/>
        </w:rPr>
        <w:t>each specific disciplin</w:t>
      </w:r>
      <w:r w:rsidR="00DD0143">
        <w:rPr>
          <w:rFonts w:cstheme="minorHAnsi"/>
          <w:sz w:val="24"/>
          <w:szCs w:val="24"/>
          <w:lang w:val="en-ZA"/>
        </w:rPr>
        <w:t xml:space="preserve">e in order to ensure compliance </w:t>
      </w:r>
      <w:r w:rsidRPr="00C879B2">
        <w:rPr>
          <w:rFonts w:cstheme="minorHAnsi"/>
          <w:sz w:val="24"/>
          <w:szCs w:val="24"/>
          <w:lang w:val="en-ZA"/>
        </w:rPr>
        <w:t>and input f</w:t>
      </w:r>
      <w:r w:rsidR="00DD0143">
        <w:rPr>
          <w:rFonts w:cstheme="minorHAnsi"/>
          <w:sz w:val="24"/>
          <w:szCs w:val="24"/>
          <w:lang w:val="en-ZA"/>
        </w:rPr>
        <w:t xml:space="preserve">rom the onset to the completion </w:t>
      </w:r>
      <w:r w:rsidRPr="00C879B2">
        <w:rPr>
          <w:rFonts w:cstheme="minorHAnsi"/>
          <w:sz w:val="24"/>
          <w:szCs w:val="24"/>
          <w:lang w:val="en-ZA"/>
        </w:rPr>
        <w:t>of the project. The L</w:t>
      </w:r>
      <w:r w:rsidR="00DD0143">
        <w:rPr>
          <w:rFonts w:cstheme="minorHAnsi"/>
          <w:sz w:val="24"/>
          <w:szCs w:val="24"/>
          <w:lang w:val="en-ZA"/>
        </w:rPr>
        <w:t xml:space="preserve">TE design team has incorporated </w:t>
      </w:r>
      <w:r w:rsidRPr="00C879B2">
        <w:rPr>
          <w:rFonts w:cstheme="minorHAnsi"/>
          <w:sz w:val="24"/>
          <w:szCs w:val="24"/>
          <w:lang w:val="en-ZA"/>
        </w:rPr>
        <w:t>industry lea</w:t>
      </w:r>
      <w:r w:rsidR="00DD0143">
        <w:rPr>
          <w:rFonts w:cstheme="minorHAnsi"/>
          <w:sz w:val="24"/>
          <w:szCs w:val="24"/>
          <w:lang w:val="en-ZA"/>
        </w:rPr>
        <w:t xml:space="preserve">ding technologies in its design </w:t>
      </w:r>
      <w:r w:rsidRPr="00C879B2">
        <w:rPr>
          <w:rFonts w:cstheme="minorHAnsi"/>
          <w:sz w:val="24"/>
          <w:szCs w:val="24"/>
          <w:lang w:val="en-ZA"/>
        </w:rPr>
        <w:t>criteria so as to en</w:t>
      </w:r>
      <w:r w:rsidR="00DD0143">
        <w:rPr>
          <w:rFonts w:cstheme="minorHAnsi"/>
          <w:sz w:val="24"/>
          <w:szCs w:val="24"/>
          <w:lang w:val="en-ZA"/>
        </w:rPr>
        <w:t xml:space="preserve">sure environmental friendliness </w:t>
      </w:r>
      <w:r w:rsidRPr="00C879B2">
        <w:rPr>
          <w:rFonts w:cstheme="minorHAnsi"/>
          <w:sz w:val="24"/>
          <w:szCs w:val="24"/>
          <w:lang w:val="en-ZA"/>
        </w:rPr>
        <w:t>by reduced en</w:t>
      </w:r>
      <w:r w:rsidR="00DD0143">
        <w:rPr>
          <w:rFonts w:cstheme="minorHAnsi"/>
          <w:sz w:val="24"/>
          <w:szCs w:val="24"/>
          <w:lang w:val="en-ZA"/>
        </w:rPr>
        <w:t xml:space="preserve">ergy consumption, reduced waste </w:t>
      </w:r>
      <w:r w:rsidRPr="00C879B2">
        <w:rPr>
          <w:rFonts w:cstheme="minorHAnsi"/>
          <w:sz w:val="24"/>
          <w:szCs w:val="24"/>
          <w:lang w:val="en-ZA"/>
        </w:rPr>
        <w:t>generation and</w:t>
      </w:r>
      <w:r w:rsidR="00DD0143">
        <w:rPr>
          <w:rFonts w:cstheme="minorHAnsi"/>
          <w:sz w:val="24"/>
          <w:szCs w:val="24"/>
          <w:lang w:val="en-ZA"/>
        </w:rPr>
        <w:t xml:space="preserve"> the use of alternative energy. E</w:t>
      </w:r>
      <w:r w:rsidRPr="00C879B2">
        <w:rPr>
          <w:rFonts w:cstheme="minorHAnsi"/>
          <w:sz w:val="24"/>
          <w:szCs w:val="24"/>
          <w:lang w:val="en-ZA"/>
        </w:rPr>
        <w:t>co-mobility and reduced</w:t>
      </w:r>
      <w:r w:rsidR="00DD0143">
        <w:rPr>
          <w:rFonts w:cstheme="minorHAnsi"/>
          <w:sz w:val="24"/>
          <w:szCs w:val="24"/>
          <w:lang w:val="en-ZA"/>
        </w:rPr>
        <w:t xml:space="preserve"> carbon footprints are </w:t>
      </w:r>
      <w:r w:rsidRPr="00C879B2">
        <w:rPr>
          <w:rFonts w:cstheme="minorHAnsi"/>
          <w:sz w:val="24"/>
          <w:szCs w:val="24"/>
          <w:lang w:val="en-ZA"/>
        </w:rPr>
        <w:t xml:space="preserve">hallmarks of the development. </w:t>
      </w:r>
    </w:p>
    <w:p w:rsidR="00DD0143" w:rsidRDefault="00DD0143" w:rsidP="00713300">
      <w:pPr>
        <w:autoSpaceDE w:val="0"/>
        <w:autoSpaceDN w:val="0"/>
        <w:adjustRightInd w:val="0"/>
        <w:spacing w:after="0" w:line="360" w:lineRule="auto"/>
        <w:jc w:val="both"/>
        <w:rPr>
          <w:rFonts w:cstheme="minorHAnsi"/>
          <w:b/>
          <w:bCs/>
          <w:sz w:val="24"/>
          <w:szCs w:val="24"/>
          <w:lang w:val="en-ZA"/>
        </w:rPr>
      </w:pPr>
    </w:p>
    <w:p w:rsidR="00C879B2" w:rsidRDefault="00C879B2" w:rsidP="00713300">
      <w:pPr>
        <w:autoSpaceDE w:val="0"/>
        <w:autoSpaceDN w:val="0"/>
        <w:adjustRightInd w:val="0"/>
        <w:spacing w:after="0" w:line="360" w:lineRule="auto"/>
        <w:jc w:val="both"/>
        <w:rPr>
          <w:rFonts w:cstheme="minorHAnsi"/>
          <w:b/>
          <w:bCs/>
          <w:sz w:val="24"/>
          <w:szCs w:val="24"/>
          <w:lang w:val="en-ZA"/>
        </w:rPr>
      </w:pPr>
      <w:r w:rsidRPr="00C879B2">
        <w:rPr>
          <w:rFonts w:cstheme="minorHAnsi"/>
          <w:b/>
          <w:bCs/>
          <w:sz w:val="24"/>
          <w:szCs w:val="24"/>
          <w:lang w:val="en-ZA"/>
        </w:rPr>
        <w:t>Design Phase:</w:t>
      </w:r>
    </w:p>
    <w:p w:rsidR="00C879B2" w:rsidRPr="00C879B2" w:rsidRDefault="00C879B2" w:rsidP="00713300">
      <w:pPr>
        <w:autoSpaceDE w:val="0"/>
        <w:autoSpaceDN w:val="0"/>
        <w:adjustRightInd w:val="0"/>
        <w:spacing w:after="0" w:line="360" w:lineRule="auto"/>
        <w:jc w:val="both"/>
        <w:rPr>
          <w:rFonts w:cstheme="minorHAnsi"/>
          <w:b/>
          <w:bCs/>
          <w:sz w:val="24"/>
          <w:szCs w:val="24"/>
          <w:lang w:val="en-ZA"/>
        </w:rPr>
      </w:pP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Potential range of housing typologies from 250m²</w:t>
      </w: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Single Res up to 3 / 4 Storey Walk-Ups</w:t>
      </w: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Potential for Local Business Floor Area: 227 000m²</w:t>
      </w: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Potential for Local Office Floor Area: 22 700m²</w:t>
      </w: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Complete range of commu</w:t>
      </w:r>
      <w:r>
        <w:rPr>
          <w:rFonts w:cstheme="minorHAnsi"/>
          <w:sz w:val="24"/>
          <w:szCs w:val="24"/>
          <w:lang w:val="en-ZA"/>
        </w:rPr>
        <w:t xml:space="preserve">nity facilities (incl. all high </w:t>
      </w:r>
      <w:r w:rsidRPr="00C879B2">
        <w:rPr>
          <w:rFonts w:cstheme="minorHAnsi"/>
          <w:sz w:val="24"/>
          <w:szCs w:val="24"/>
          <w:lang w:val="en-ZA"/>
        </w:rPr>
        <w:t>order facilities)</w:t>
      </w: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Extensive open space areas (26%)</w:t>
      </w: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Housing Typology Split</w:t>
      </w: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40% Subsidized</w:t>
      </w: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20% FLISP</w:t>
      </w:r>
    </w:p>
    <w:p w:rsidR="00C879B2" w:rsidRPr="00C879B2"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 20% Full bonded</w:t>
      </w:r>
    </w:p>
    <w:p w:rsidR="00C879B2" w:rsidRPr="00C879B2" w:rsidRDefault="00C879B2" w:rsidP="00713300">
      <w:pPr>
        <w:spacing w:line="360" w:lineRule="auto"/>
        <w:jc w:val="both"/>
        <w:rPr>
          <w:rFonts w:cstheme="minorHAnsi"/>
          <w:sz w:val="24"/>
          <w:szCs w:val="24"/>
          <w:lang w:val="en-ZA"/>
        </w:rPr>
      </w:pPr>
      <w:r w:rsidRPr="00C879B2">
        <w:rPr>
          <w:rFonts w:cstheme="minorHAnsi"/>
          <w:sz w:val="24"/>
          <w:szCs w:val="24"/>
          <w:lang w:val="en-ZA"/>
        </w:rPr>
        <w:t>• 20% Rental stock</w:t>
      </w:r>
    </w:p>
    <w:p w:rsidR="00C879B2" w:rsidRPr="00713300" w:rsidRDefault="00C879B2" w:rsidP="00713300">
      <w:pPr>
        <w:autoSpaceDE w:val="0"/>
        <w:autoSpaceDN w:val="0"/>
        <w:adjustRightInd w:val="0"/>
        <w:spacing w:after="0" w:line="360" w:lineRule="auto"/>
        <w:jc w:val="both"/>
        <w:rPr>
          <w:rFonts w:cstheme="minorHAnsi"/>
          <w:sz w:val="24"/>
          <w:szCs w:val="24"/>
          <w:lang w:val="en-ZA"/>
        </w:rPr>
      </w:pPr>
      <w:r w:rsidRPr="00C879B2">
        <w:rPr>
          <w:rFonts w:cstheme="minorHAnsi"/>
          <w:sz w:val="24"/>
          <w:szCs w:val="24"/>
          <w:lang w:val="en-ZA"/>
        </w:rPr>
        <w:t>In addition to the st</w:t>
      </w:r>
      <w:r>
        <w:rPr>
          <w:rFonts w:cstheme="minorHAnsi"/>
          <w:sz w:val="24"/>
          <w:szCs w:val="24"/>
          <w:lang w:val="en-ZA"/>
        </w:rPr>
        <w:t xml:space="preserve">andard pre-planning studies and </w:t>
      </w:r>
      <w:r w:rsidRPr="00C879B2">
        <w:rPr>
          <w:rFonts w:cstheme="minorHAnsi"/>
          <w:sz w:val="24"/>
          <w:szCs w:val="24"/>
          <w:lang w:val="en-ZA"/>
        </w:rPr>
        <w:t>investigations that would</w:t>
      </w:r>
      <w:r>
        <w:rPr>
          <w:rFonts w:cstheme="minorHAnsi"/>
          <w:sz w:val="24"/>
          <w:szCs w:val="24"/>
          <w:lang w:val="en-ZA"/>
        </w:rPr>
        <w:t xml:space="preserve"> be undertaken in a development </w:t>
      </w:r>
      <w:r w:rsidRPr="00C879B2">
        <w:rPr>
          <w:rFonts w:cstheme="minorHAnsi"/>
          <w:sz w:val="24"/>
          <w:szCs w:val="24"/>
          <w:lang w:val="en-ZA"/>
        </w:rPr>
        <w:t>of this nature – Environme</w:t>
      </w:r>
      <w:r>
        <w:rPr>
          <w:rFonts w:cstheme="minorHAnsi"/>
          <w:sz w:val="24"/>
          <w:szCs w:val="24"/>
          <w:lang w:val="en-ZA"/>
        </w:rPr>
        <w:t xml:space="preserve">ntal, Geotechnical, Spatial and </w:t>
      </w:r>
      <w:r w:rsidRPr="00C879B2">
        <w:rPr>
          <w:rFonts w:cstheme="minorHAnsi"/>
          <w:sz w:val="24"/>
          <w:szCs w:val="24"/>
          <w:lang w:val="en-ZA"/>
        </w:rPr>
        <w:t>Urban Designs, Engineering,</w:t>
      </w:r>
      <w:r>
        <w:rPr>
          <w:rFonts w:cstheme="minorHAnsi"/>
          <w:sz w:val="24"/>
          <w:szCs w:val="24"/>
          <w:lang w:val="en-ZA"/>
        </w:rPr>
        <w:t xml:space="preserve"> etc., the dynamics of the site </w:t>
      </w:r>
      <w:r w:rsidRPr="00C879B2">
        <w:rPr>
          <w:rFonts w:cstheme="minorHAnsi"/>
          <w:sz w:val="24"/>
          <w:szCs w:val="24"/>
          <w:lang w:val="en-ZA"/>
        </w:rPr>
        <w:t>triggered several very specialise</w:t>
      </w:r>
      <w:r>
        <w:rPr>
          <w:rFonts w:cstheme="minorHAnsi"/>
          <w:sz w:val="24"/>
          <w:szCs w:val="24"/>
          <w:lang w:val="en-ZA"/>
        </w:rPr>
        <w:t xml:space="preserve">d scientific studies, including </w:t>
      </w:r>
      <w:r w:rsidRPr="00C879B2">
        <w:rPr>
          <w:rFonts w:cstheme="minorHAnsi"/>
          <w:sz w:val="24"/>
          <w:szCs w:val="24"/>
          <w:lang w:val="en-ZA"/>
        </w:rPr>
        <w:t>a Radioactivity Safet</w:t>
      </w:r>
      <w:r w:rsidR="00713300">
        <w:rPr>
          <w:rFonts w:cstheme="minorHAnsi"/>
          <w:sz w:val="24"/>
          <w:szCs w:val="24"/>
          <w:lang w:val="en-ZA"/>
        </w:rPr>
        <w:t xml:space="preserve">y Assessment in compliance with </w:t>
      </w:r>
      <w:r w:rsidRPr="00C879B2">
        <w:rPr>
          <w:rFonts w:cstheme="minorHAnsi"/>
          <w:sz w:val="24"/>
          <w:szCs w:val="24"/>
          <w:lang w:val="en-ZA"/>
        </w:rPr>
        <w:t xml:space="preserve">National Nuclear Regulatory </w:t>
      </w:r>
      <w:r>
        <w:rPr>
          <w:rFonts w:cstheme="minorHAnsi"/>
          <w:sz w:val="24"/>
          <w:szCs w:val="24"/>
          <w:lang w:val="en-ZA"/>
        </w:rPr>
        <w:t xml:space="preserve">requirements, a Geohydrological </w:t>
      </w:r>
      <w:r w:rsidRPr="00C879B2">
        <w:rPr>
          <w:rFonts w:cstheme="minorHAnsi"/>
          <w:sz w:val="24"/>
          <w:szCs w:val="24"/>
          <w:lang w:val="en-ZA"/>
        </w:rPr>
        <w:t>and Groundwate</w:t>
      </w:r>
      <w:r w:rsidR="00713300">
        <w:rPr>
          <w:rFonts w:cstheme="minorHAnsi"/>
          <w:sz w:val="24"/>
          <w:szCs w:val="24"/>
          <w:lang w:val="en-ZA"/>
        </w:rPr>
        <w:t xml:space="preserve">r Analysis, as well as detailed </w:t>
      </w:r>
      <w:r w:rsidRPr="00C879B2">
        <w:rPr>
          <w:rFonts w:cstheme="minorHAnsi"/>
          <w:sz w:val="24"/>
          <w:szCs w:val="24"/>
          <w:lang w:val="en-ZA"/>
        </w:rPr>
        <w:t>Dolomitic Risk Assessment</w:t>
      </w:r>
      <w:r w:rsidR="00713300">
        <w:rPr>
          <w:rFonts w:cstheme="minorHAnsi"/>
          <w:sz w:val="24"/>
          <w:szCs w:val="24"/>
          <w:lang w:val="en-ZA"/>
        </w:rPr>
        <w:t xml:space="preserve"> in compliance with the Council </w:t>
      </w:r>
      <w:r w:rsidRPr="00C879B2">
        <w:rPr>
          <w:rFonts w:cstheme="minorHAnsi"/>
          <w:sz w:val="24"/>
          <w:szCs w:val="24"/>
          <w:lang w:val="en-ZA"/>
        </w:rPr>
        <w:t xml:space="preserve">for Geosciences. The culmination of the </w:t>
      </w:r>
      <w:r w:rsidR="00713300">
        <w:rPr>
          <w:rFonts w:cstheme="minorHAnsi"/>
          <w:sz w:val="24"/>
          <w:szCs w:val="24"/>
          <w:lang w:val="en-ZA"/>
        </w:rPr>
        <w:t xml:space="preserve">various studies, </w:t>
      </w:r>
      <w:r w:rsidRPr="00C879B2">
        <w:rPr>
          <w:rFonts w:cstheme="minorHAnsi"/>
          <w:sz w:val="24"/>
          <w:szCs w:val="24"/>
          <w:lang w:val="en-ZA"/>
        </w:rPr>
        <w:t>all carried out by leadin</w:t>
      </w:r>
      <w:r w:rsidR="00713300">
        <w:rPr>
          <w:rFonts w:cstheme="minorHAnsi"/>
          <w:sz w:val="24"/>
          <w:szCs w:val="24"/>
          <w:lang w:val="en-ZA"/>
        </w:rPr>
        <w:t xml:space="preserve">g specialists and professionals </w:t>
      </w:r>
      <w:r w:rsidRPr="00C879B2">
        <w:rPr>
          <w:rFonts w:cstheme="minorHAnsi"/>
          <w:sz w:val="24"/>
          <w:szCs w:val="24"/>
          <w:lang w:val="en-ZA"/>
        </w:rPr>
        <w:t>have yielded an Urba</w:t>
      </w:r>
      <w:r w:rsidR="00713300">
        <w:rPr>
          <w:rFonts w:cstheme="minorHAnsi"/>
          <w:sz w:val="24"/>
          <w:szCs w:val="24"/>
          <w:lang w:val="en-ZA"/>
        </w:rPr>
        <w:t xml:space="preserve">n Design Framework and Township </w:t>
      </w:r>
      <w:r w:rsidRPr="00C879B2">
        <w:rPr>
          <w:rFonts w:cstheme="minorHAnsi"/>
          <w:sz w:val="24"/>
          <w:szCs w:val="24"/>
          <w:lang w:val="en-ZA"/>
        </w:rPr>
        <w:t>Layout that sets the benchm</w:t>
      </w:r>
      <w:r w:rsidR="00713300">
        <w:rPr>
          <w:rFonts w:cstheme="minorHAnsi"/>
          <w:sz w:val="24"/>
          <w:szCs w:val="24"/>
          <w:lang w:val="en-ZA"/>
        </w:rPr>
        <w:t xml:space="preserve">ark for design and development, </w:t>
      </w:r>
      <w:r w:rsidRPr="00C879B2">
        <w:rPr>
          <w:rFonts w:cstheme="minorHAnsi"/>
          <w:sz w:val="24"/>
          <w:szCs w:val="24"/>
          <w:lang w:val="en-ZA"/>
        </w:rPr>
        <w:t xml:space="preserve">specifically in the </w:t>
      </w:r>
      <w:r w:rsidR="00713300">
        <w:rPr>
          <w:rFonts w:cstheme="minorHAnsi"/>
          <w:sz w:val="24"/>
          <w:szCs w:val="24"/>
          <w:lang w:val="en-ZA"/>
        </w:rPr>
        <w:t xml:space="preserve">face of numerous challenges and </w:t>
      </w:r>
      <w:r w:rsidRPr="00C879B2">
        <w:rPr>
          <w:rFonts w:cstheme="minorHAnsi"/>
          <w:sz w:val="24"/>
          <w:szCs w:val="24"/>
          <w:lang w:val="en-ZA"/>
        </w:rPr>
        <w:t>dynamics. It is a privileg</w:t>
      </w:r>
      <w:r w:rsidR="00713300">
        <w:rPr>
          <w:rFonts w:cstheme="minorHAnsi"/>
          <w:sz w:val="24"/>
          <w:szCs w:val="24"/>
          <w:lang w:val="en-ZA"/>
        </w:rPr>
        <w:t xml:space="preserve">e for LTE Consulting to partner </w:t>
      </w:r>
      <w:r w:rsidRPr="00C879B2">
        <w:rPr>
          <w:rFonts w:cstheme="minorHAnsi"/>
          <w:sz w:val="24"/>
          <w:szCs w:val="24"/>
          <w:lang w:val="en-ZA"/>
        </w:rPr>
        <w:t>with the Office of the Pre</w:t>
      </w:r>
      <w:r w:rsidR="00713300">
        <w:rPr>
          <w:rFonts w:cstheme="minorHAnsi"/>
          <w:sz w:val="24"/>
          <w:szCs w:val="24"/>
          <w:lang w:val="en-ZA"/>
        </w:rPr>
        <w:t xml:space="preserve">mier and the Gauteng Department </w:t>
      </w:r>
      <w:r w:rsidRPr="00C879B2">
        <w:rPr>
          <w:rFonts w:cstheme="minorHAnsi"/>
          <w:sz w:val="24"/>
          <w:szCs w:val="24"/>
          <w:lang w:val="en-ZA"/>
        </w:rPr>
        <w:t>of Human Settlements in this notable project</w:t>
      </w:r>
      <w:r w:rsidR="00005DBD">
        <w:rPr>
          <w:rFonts w:cstheme="minorHAnsi"/>
          <w:sz w:val="24"/>
          <w:szCs w:val="24"/>
          <w:lang w:val="en-ZA"/>
        </w:rPr>
        <w:t>.</w:t>
      </w:r>
      <w:bookmarkStart w:id="0" w:name="_GoBack"/>
      <w:bookmarkEnd w:id="0"/>
    </w:p>
    <w:sectPr w:rsidR="00C879B2" w:rsidRPr="00713300" w:rsidSect="0026251B">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4BF" w:rsidRDefault="004074BF" w:rsidP="00934F42">
      <w:pPr>
        <w:spacing w:after="0" w:line="240" w:lineRule="auto"/>
      </w:pPr>
      <w:r>
        <w:separator/>
      </w:r>
    </w:p>
  </w:endnote>
  <w:endnote w:type="continuationSeparator" w:id="0">
    <w:p w:rsidR="004074BF" w:rsidRDefault="004074BF" w:rsidP="0093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4BF" w:rsidRDefault="004074BF" w:rsidP="00934F42">
      <w:pPr>
        <w:spacing w:after="0" w:line="240" w:lineRule="auto"/>
      </w:pPr>
      <w:r>
        <w:separator/>
      </w:r>
    </w:p>
  </w:footnote>
  <w:footnote w:type="continuationSeparator" w:id="0">
    <w:p w:rsidR="004074BF" w:rsidRDefault="004074BF" w:rsidP="00934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B7A8F"/>
    <w:multiLevelType w:val="hybridMultilevel"/>
    <w:tmpl w:val="4996899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716921BA"/>
    <w:multiLevelType w:val="hybridMultilevel"/>
    <w:tmpl w:val="A4306D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07"/>
    <w:rsid w:val="00005DBD"/>
    <w:rsid w:val="000379C5"/>
    <w:rsid w:val="00041DFA"/>
    <w:rsid w:val="0005604A"/>
    <w:rsid w:val="00075CAE"/>
    <w:rsid w:val="000A6532"/>
    <w:rsid w:val="000A7ECC"/>
    <w:rsid w:val="00150B13"/>
    <w:rsid w:val="00225CF1"/>
    <w:rsid w:val="00242DCC"/>
    <w:rsid w:val="0026251B"/>
    <w:rsid w:val="004074BF"/>
    <w:rsid w:val="00431A2D"/>
    <w:rsid w:val="004A061B"/>
    <w:rsid w:val="004A7459"/>
    <w:rsid w:val="004E4E9F"/>
    <w:rsid w:val="005358F1"/>
    <w:rsid w:val="0053668E"/>
    <w:rsid w:val="00536BCE"/>
    <w:rsid w:val="00544EEF"/>
    <w:rsid w:val="00550BCE"/>
    <w:rsid w:val="005A33AE"/>
    <w:rsid w:val="005E1A0F"/>
    <w:rsid w:val="00680B40"/>
    <w:rsid w:val="00713300"/>
    <w:rsid w:val="00785457"/>
    <w:rsid w:val="007917C2"/>
    <w:rsid w:val="007A5AE7"/>
    <w:rsid w:val="007F0A18"/>
    <w:rsid w:val="007F7614"/>
    <w:rsid w:val="00934F42"/>
    <w:rsid w:val="00950089"/>
    <w:rsid w:val="009831EB"/>
    <w:rsid w:val="0098653F"/>
    <w:rsid w:val="009A41E7"/>
    <w:rsid w:val="00AD206B"/>
    <w:rsid w:val="00B570F1"/>
    <w:rsid w:val="00B848CF"/>
    <w:rsid w:val="00C53F80"/>
    <w:rsid w:val="00C80EDD"/>
    <w:rsid w:val="00C879B2"/>
    <w:rsid w:val="00C97E07"/>
    <w:rsid w:val="00DD0143"/>
    <w:rsid w:val="00F30707"/>
    <w:rsid w:val="00F9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EA924-CD5C-4174-8C85-150C645C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F42"/>
  </w:style>
  <w:style w:type="paragraph" w:styleId="Footer">
    <w:name w:val="footer"/>
    <w:basedOn w:val="Normal"/>
    <w:link w:val="FooterChar"/>
    <w:uiPriority w:val="99"/>
    <w:unhideWhenUsed/>
    <w:rsid w:val="00934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F42"/>
  </w:style>
  <w:style w:type="paragraph" w:styleId="ListParagraph">
    <w:name w:val="List Paragraph"/>
    <w:basedOn w:val="Normal"/>
    <w:uiPriority w:val="34"/>
    <w:qFormat/>
    <w:rsid w:val="005E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Maharaj</dc:creator>
  <cp:keywords/>
  <dc:description/>
  <cp:lastModifiedBy>Yelanda Tyekela</cp:lastModifiedBy>
  <cp:revision>32</cp:revision>
  <dcterms:created xsi:type="dcterms:W3CDTF">2020-08-18T09:29:00Z</dcterms:created>
  <dcterms:modified xsi:type="dcterms:W3CDTF">2020-09-09T14:40:00Z</dcterms:modified>
</cp:coreProperties>
</file>