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Implementation of the Game and AI Foundation</w:t>
      </w:r>
    </w:p>
    <w:p>
      <w:r>
        <w:rPr>
          <w:sz w:val="24"/>
        </w:rPr>
        <w:t xml:space="preserve">The Territory Capture project was implemented in Python with a modular and extendable software structure. The first objective of the project was to create a reliable game environment that correctly represents the rules of the custom board game. The second objective was to prepare this environment for future artificial intelligence methods, especially AlphaZero-style learning. For this reason, the software architecture was designed not only to support gameplay, but also to support search algorithms, data generation, and machine learning components.</w:t>
      </w:r>
    </w:p>
    <w:p>
      <w:r>
        <w:rPr>
          <w:sz w:val="24"/>
        </w:rPr>
        <w:t xml:space="preserve">The game logic and the user interface were intentionally separated. The core engine handles board representation, turn management, legal move generation, move application, terminal-state detection, capture processing, and winner determination. The territory scoring logic was also kept in a dedicated rules module rather than being mixed into the main game loop. This separation improved readability and made the code easier to test, maintain, and reuse for AI development. As a result, the game engine can be used independently of the graphical interface, which is essential for automated simulations and self-play.</w:t>
      </w:r>
    </w:p>
    <w:p>
      <w:r>
        <w:rPr>
          <w:sz w:val="24"/>
        </w:rPr>
        <w:t xml:space="preserve">The board is internally represented as a 5x5 structure, and the players are represented by the symbols X and O. On each turn, the current player selects a legal empty cell and places a stone there. The game state is then updated, the optional capture rule is applied, and the turn passes to the other player. When the maximum number of moves is reached, the engine evaluates the final territory scores and determines the winner. Since the environment is deterministic and clearly defined, it is suitable for both classical AI agents and learning-based methods.</w:t>
      </w:r>
    </w:p>
    <w:p>
      <w:r>
        <w:rPr>
          <w:sz w:val="24"/>
        </w:rPr>
        <w:t xml:space="preserve">To provide baseline performance comparisons, several non-learning agents were added. A RandomAgent selects any legal move uniformly at random. A HeuristicAgent uses a small set of understandable positional rules, such as preferring the center, valuing empty neighboring cells, and improving local influence. A MinimaxAgent performs shallow lookahead with a simple evaluation function. These agents serve two purposes. First, they verify that the game engine behaves correctly under repeated automated play. Second, they provide useful benchmark opponents for later evaluation of the neural network based system.</w:t>
      </w:r>
    </w:p>
    <w:p>
      <w:r>
        <w:rPr>
          <w:sz w:val="24"/>
        </w:rPr>
        <w:t xml:space="preserve">An important step toward AI training was the addition of a representation layer. Each game state is encoded into a fixed tensor of shape (2, 5, 5). The first channel stores the stones of the current player, and the second channel stores the stones of the opponent. This perspective-based representation means that the model always sees the board from the point of view of the player whose turn it is. In addition, each board position is mapped to a fixed action index from 0 to 24, and a legal action mask indicates which actions are valid in the current position. These design choices make the environment directly compatible with policy-based neural networks and Monte Carlo Tree Search.</w:t>
      </w:r>
    </w:p>
    <w:p>
      <w:r>
        <w:rPr>
          <w:sz w:val="24"/>
        </w:rPr>
        <w:t xml:space="preserve">The project also includes a self-play dataset pipeline. For each recorded move, the system stores the encoded state, a policy target, and a value target. In the earlier stages, policy targets were stored as simple one-hot vectors. Later, stronger policy targets based on search visit counts were added. The dataset tools allow games to be simulated in large numbers and exported to JSON. A replay buffer was also introduced so that training can use a rolling collection of recent self-play samples rather than depending only on the newest games. This makes the learning setup closer to modern game-AI pipelines.</w:t>
      </w:r>
    </w:p>
    <w:p>
      <w:r>
        <w:rPr>
          <w:sz w:val="24"/>
        </w:rPr>
        <w:t xml:space="preserve">In summary, the software implementation does more than simply run the game. It provides a complete foundation for artificial intelligence experiments. The project now includes a stable game environment, baseline agents, state encoding, action mapping, legal move masking, and data generation utilities. These components make the system suitable for building search-based and learning-based AI methods in a clean and academically explainable way.</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the Game and AI Foundation</dc:title>
  <dc:creator>Codex</dc:creator>
</cp:coreProperties>
</file>