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jc w:val="both"/>
      </w:pPr>
      <w:r>
        <w:t xml:space="preserve">CASE OF TEST v. NORWAY</w:t>
      </w:r>
    </w:p>
    <w:p>
      <w:pPr>
        <w:jc w:val="both"/>
      </w:pPr>
      <w:r>
        <w:t xml:space="preserve">1.</w:t>
      </w:r>
      <w:r>
        <w:tab/>
      </w:r>
      <w:r>
        <w:t xml:space="preserve">The applicant &amp; his wife complained</w:t>
      </w:r>
      <w:r>
        <w:footnoteReference w:id="1"/>
      </w:r>
      <w:r>
        <w:t xml:space="preserve">.</w:t>
      </w:r>
    </w:p>
    <w:p>
      <w:pPr>
        <w:jc w:val="both"/>
      </w:pPr>
      <w:r>
        <w:t xml:space="preserve">(a) a sub-paragraph that belongs to paragraph 1</w:t>
      </w:r>
    </w:p>
    <w:p>
      <w:pPr>
        <w:jc w:val="both"/>
      </w:pPr>
      <w:r>
        <w:t xml:space="preserve">II.  ALLEGED VIOLATION OF ARTICLE 8</w:t>
      </w:r>
    </w:p>
    <w:p>
      <w:pPr>
        <w:jc w:val="both"/>
      </w:pPr>
      <w:r>
        <w:t xml:space="preserve">2.</w:t>
      </w:r>
      <w:r>
        <w:tab/>
      </w:r>
      <w:r>
        <w:t xml:space="preserve">The Court reiterates “margin of appreciation”</w:t>
      </w:r>
      <w:r>
        <w:footnoteReference w:id="2"/>
      </w:r>
      <w:r>
        <w:t xml:space="preserve">.</w:t>
      </w:r>
    </w:p>
    <w:p>
      <w:pPr>
        <w:jc w:val="both"/>
      </w:pPr>
      <w:r>
        <w:t xml:space="preserve">A text box: </w:t>
      </w:r>
      <w:r>
        <w:pict>
          <w:txbxContent>
            <w:p>
              <w:pPr>
                <w:jc w:val="both"/>
              </w:pPr>
              <w:r>
                <w:t xml:space="preserve">inside</w:t>
              </w:r>
            </w:p>
          </w:txbxContent>
        </w:pict>
      </w:r>
    </w:p>
    <w:p/>
    <w:p>
      <w:pPr>
        <w:jc w:val="both"/>
      </w:pPr>
      <w:r>
        <w:t xml:space="preserve">FOR THESE REASONS, THE COURT</w:t>
      </w:r>
    </w:p>
    <w:p>
      <w:pPr>
        <w:jc w:val="both"/>
      </w:pPr>
      <w:r>
        <w:t xml:space="preserve">1.</w:t>
      </w:r>
      <w:r>
        <w:tab/>
      </w:r>
      <w:r>
        <w:t xml:space="preserve">Holds, unanimously, that there has been a violation of Article 8;</w:t>
      </w:r>
    </w:p>
  </w:body>
</w:document>
</file>

<file path=word/footnotes.xml><?xml version="1.0" encoding="utf-8"?>
<w:footnotes xmlns:w="http://schemas.openxmlformats.org/wordprocessingml/2006/main">
  <w:footnote w:type="separator" w:id="-1">
    <w:p>
      <w:pPr>
        <w:jc w:val="both"/>
      </w:pPr>
      <w:r>
        <w:separator/>
      </w:r>
    </w:p>
  </w:footnote>
  <w:footnote w:type="continuationSeparator" w:id="0">
    <w:p>
      <w:pPr>
        <w:jc w:val="both"/>
      </w:pPr>
      <w:r>
        <w:continuationSeparator/>
      </w:r>
    </w:p>
  </w:footnote>
  <w:footnote w:id="1">
    <w:p>
      <w:pPr>
        <w:jc w:val="both"/>
      </w:pPr>
      <w:r>
        <w:t xml:space="preserve"> See Smith v. Norway, no. 1/01.</w:t>
      </w:r>
    </w:p>
    <w:p>
      <w:pPr>
        <w:jc w:val="both"/>
      </w:pPr>
      <w:r>
        <w:t xml:space="preserve">Second paragraph of the note.</w:t>
      </w:r>
    </w:p>
  </w:footnote>
  <w:footnote w:id="2">
    <w:p>
      <w:pPr>
        <w:jc w:val="both"/>
      </w:pPr>
      <w:r>
        <w:t xml:space="preserve">Case-law cited.</w:t>
      </w:r>
    </w:p>
  </w:footnote>
</w:footnotes>
</file>