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39" w:rsidRDefault="000059D5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GEO2010 Spring 2017</w:t>
      </w:r>
    </w:p>
    <w:p w:rsidR="00A10339" w:rsidRDefault="000059D5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8</w:t>
      </w:r>
    </w:p>
    <w:p w:rsidR="00A10339" w:rsidRDefault="00A10339">
      <w:pPr>
        <w:pStyle w:val="Standard"/>
        <w:jc w:val="center"/>
        <w:rPr>
          <w:b/>
          <w:bCs/>
          <w:sz w:val="32"/>
          <w:szCs w:val="32"/>
        </w:rPr>
      </w:pPr>
    </w:p>
    <w:p w:rsidR="00A10339" w:rsidRDefault="00A10339">
      <w:pPr>
        <w:pStyle w:val="Standard"/>
        <w:jc w:val="center"/>
        <w:rPr>
          <w:b/>
          <w:bCs/>
          <w:sz w:val="32"/>
          <w:szCs w:val="32"/>
        </w:rPr>
      </w:pPr>
    </w:p>
    <w:p w:rsidR="00A10339" w:rsidRDefault="00A10339">
      <w:pPr>
        <w:pStyle w:val="Standard"/>
        <w:spacing w:line="360" w:lineRule="auto"/>
      </w:pPr>
    </w:p>
    <w:p w:rsidR="00A10339" w:rsidRDefault="000059D5">
      <w:pPr>
        <w:pStyle w:val="Standard"/>
        <w:spacing w:line="360" w:lineRule="auto"/>
      </w:pPr>
      <w:r>
        <w:t>Obligatory exercise 8 must be submitted by April 3, 2017.</w:t>
      </w:r>
    </w:p>
    <w:p w:rsidR="00A10339" w:rsidRDefault="00A10339">
      <w:pPr>
        <w:pStyle w:val="Standard"/>
        <w:spacing w:line="360" w:lineRule="auto"/>
      </w:pPr>
    </w:p>
    <w:p w:rsidR="00A10339" w:rsidRDefault="000059D5">
      <w:pPr>
        <w:pStyle w:val="Standard"/>
        <w:spacing w:line="360" w:lineRule="auto"/>
        <w:rPr>
          <w:b/>
          <w:bCs/>
        </w:rPr>
      </w:pPr>
      <w:r>
        <w:rPr>
          <w:b/>
          <w:bCs/>
        </w:rPr>
        <w:t>Training Exercise 8.1</w:t>
      </w:r>
    </w:p>
    <w:p w:rsidR="00A10339" w:rsidRDefault="000059D5">
      <w:pPr>
        <w:pStyle w:val="Standard"/>
        <w:spacing w:line="360" w:lineRule="auto"/>
        <w:jc w:val="center"/>
        <w:rPr>
          <w:b/>
          <w:bCs/>
        </w:rPr>
      </w:pPr>
      <w:r>
        <w:rPr>
          <w:b/>
          <w:bCs/>
        </w:rPr>
        <w:t>This exercise concerns the contents of chapter 10 in Dingman.</w:t>
      </w:r>
    </w:p>
    <w:p w:rsidR="00A10339" w:rsidRDefault="000059D5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</w:rPr>
        <w:t>Stream  Order</w:t>
      </w:r>
    </w:p>
    <w:p w:rsidR="00A10339" w:rsidRDefault="000059D5">
      <w:pPr>
        <w:pStyle w:val="Standard"/>
        <w:spacing w:line="360" w:lineRule="auto"/>
        <w:jc w:val="both"/>
      </w:pPr>
      <w:r>
        <w:t>Stream orders describe the bifurcation (Norsk: “Forgrening”) of a river network. The order of a stream can be determined by following these steps (</w:t>
      </w:r>
      <w:r>
        <w:rPr>
          <w:b/>
        </w:rPr>
        <w:t>See figure 10.1 on page 456 in Dingman.)</w:t>
      </w:r>
      <w:r>
        <w:t>:</w:t>
      </w:r>
    </w:p>
    <w:p w:rsidR="00A10339" w:rsidRDefault="00A10339">
      <w:pPr>
        <w:pStyle w:val="Standard"/>
        <w:jc w:val="both"/>
      </w:pPr>
    </w:p>
    <w:p w:rsidR="00A10339" w:rsidRDefault="000059D5">
      <w:pPr>
        <w:pStyle w:val="Standard"/>
        <w:ind w:left="720"/>
        <w:jc w:val="both"/>
      </w:pPr>
      <w:r>
        <w:t>a. Give the smallest fingertip tributaries order 1.</w:t>
      </w:r>
    </w:p>
    <w:p w:rsidR="00A10339" w:rsidRDefault="00A10339">
      <w:pPr>
        <w:pStyle w:val="Standard"/>
        <w:ind w:left="720"/>
        <w:jc w:val="both"/>
      </w:pPr>
    </w:p>
    <w:p w:rsidR="00A10339" w:rsidRDefault="000059D5">
      <w:pPr>
        <w:pStyle w:val="Standard"/>
        <w:ind w:left="720"/>
        <w:jc w:val="both"/>
      </w:pPr>
      <w:r>
        <w:t xml:space="preserve">b. Where two channels of order </w:t>
      </w:r>
      <w:r>
        <w:rPr>
          <w:b/>
          <w:bCs/>
          <w:i/>
          <w:iCs/>
        </w:rPr>
        <w:t xml:space="preserve">i </w:t>
      </w:r>
      <w:r>
        <w:t>join, a channel of order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i</w:t>
      </w:r>
      <w:r>
        <w:rPr>
          <w:b/>
          <w:bCs/>
        </w:rPr>
        <w:t>+1</w:t>
      </w:r>
      <w:r>
        <w:t xml:space="preserve"> result. For example, when two streams of order 1 join together, a stream of order 2 results. When two streams of order 2 join together, a stream of order 3 results.</w:t>
      </w:r>
    </w:p>
    <w:p w:rsidR="00A10339" w:rsidRDefault="00A10339">
      <w:pPr>
        <w:pStyle w:val="Standard"/>
        <w:ind w:left="720"/>
        <w:jc w:val="both"/>
      </w:pPr>
    </w:p>
    <w:p w:rsidR="00A10339" w:rsidRDefault="000059D5">
      <w:pPr>
        <w:pStyle w:val="Standard"/>
        <w:ind w:left="720"/>
        <w:jc w:val="both"/>
      </w:pPr>
      <w:r>
        <w:t>c. Where a stream of lower order joins a stream of higher order, the stream downstream retains the higher of two orders.</w:t>
      </w:r>
    </w:p>
    <w:p w:rsidR="00A10339" w:rsidRDefault="00A10339">
      <w:pPr>
        <w:pStyle w:val="Standard"/>
        <w:spacing w:line="360" w:lineRule="auto"/>
        <w:jc w:val="both"/>
      </w:pPr>
    </w:p>
    <w:p w:rsidR="00A10339" w:rsidRDefault="000059D5">
      <w:pPr>
        <w:pStyle w:val="Standard"/>
        <w:spacing w:line="360" w:lineRule="auto"/>
        <w:jc w:val="both"/>
      </w:pPr>
      <w:r>
        <w:t>1) Define drainage density (Norsk: “Dreneringstetthet”) of a watershed.</w:t>
      </w:r>
    </w:p>
    <w:p w:rsidR="00A10339" w:rsidRDefault="00A10339">
      <w:pPr>
        <w:pStyle w:val="Standard"/>
        <w:spacing w:line="360" w:lineRule="auto"/>
        <w:jc w:val="both"/>
      </w:pPr>
    </w:p>
    <w:p w:rsidR="00A10339" w:rsidRDefault="000059D5">
      <w:pPr>
        <w:pStyle w:val="Standard"/>
        <w:spacing w:line="360" w:lineRule="auto"/>
        <w:jc w:val="both"/>
      </w:pPr>
      <w:r>
        <w:t>2) Determine the stream orders in the watershed in Figure 1</w:t>
      </w:r>
    </w:p>
    <w:p w:rsidR="00A10339" w:rsidRDefault="00A10339">
      <w:pPr>
        <w:pStyle w:val="Standard"/>
        <w:spacing w:line="360" w:lineRule="auto"/>
        <w:jc w:val="both"/>
      </w:pPr>
    </w:p>
    <w:p w:rsidR="00A10339" w:rsidRDefault="000059D5">
      <w:pPr>
        <w:pStyle w:val="Standard"/>
        <w:spacing w:line="360" w:lineRule="auto"/>
        <w:jc w:val="both"/>
      </w:pPr>
      <w:r>
        <w:t>3) The stream network in Figure 1 covers an area of 365 km</w:t>
      </w:r>
      <w:r>
        <w:rPr>
          <w:vertAlign w:val="superscript"/>
        </w:rPr>
        <w:t>2</w:t>
      </w:r>
      <w:r>
        <w:t xml:space="preserve"> and contains 67 streams with a total length of 23 km. Calculate the drainage density and the stream density.</w:t>
      </w:r>
    </w:p>
    <w:p w:rsidR="00A10339" w:rsidRDefault="00A10339">
      <w:pPr>
        <w:pStyle w:val="Standard"/>
        <w:spacing w:line="360" w:lineRule="auto"/>
        <w:jc w:val="both"/>
      </w:pPr>
    </w:p>
    <w:p w:rsidR="00A10339" w:rsidRDefault="00A10339">
      <w:pPr>
        <w:pStyle w:val="Standard"/>
        <w:spacing w:line="360" w:lineRule="auto"/>
        <w:jc w:val="both"/>
      </w:pPr>
    </w:p>
    <w:p w:rsidR="00A10339" w:rsidRDefault="00671B38">
      <w:pPr>
        <w:pStyle w:val="Standard"/>
      </w:pPr>
      <w:r>
        <w:rPr>
          <w:i/>
          <w:noProof/>
          <w:lang w:val="en-GB" w:bidi="ar-SA"/>
        </w:rPr>
        <w:lastRenderedPageBreak/>
        <w:drawing>
          <wp:inline distT="0" distB="0" distL="0" distR="0">
            <wp:extent cx="6122670" cy="5701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570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59D5">
        <w:rPr>
          <w:i/>
          <w:iCs/>
        </w:rPr>
        <w:t>Figure 1:</w:t>
      </w:r>
    </w:p>
    <w:p w:rsidR="00A10339" w:rsidRDefault="00A10339">
      <w:pPr>
        <w:pStyle w:val="Standard"/>
        <w:spacing w:line="360" w:lineRule="auto"/>
        <w:jc w:val="both"/>
      </w:pPr>
    </w:p>
    <w:p w:rsidR="00A10339" w:rsidRDefault="00A10339">
      <w:pPr>
        <w:pStyle w:val="Standard"/>
        <w:spacing w:line="360" w:lineRule="auto"/>
        <w:rPr>
          <w:i/>
          <w:iCs/>
        </w:rPr>
      </w:pPr>
      <w:bookmarkStart w:id="0" w:name="_GoBack"/>
      <w:bookmarkEnd w:id="0"/>
    </w:p>
    <w:p w:rsidR="00A10339" w:rsidRDefault="000059D5">
      <w:pPr>
        <w:pStyle w:val="Standard"/>
        <w:spacing w:line="360" w:lineRule="auto"/>
      </w:pPr>
      <w:r>
        <w:rPr>
          <w:b/>
          <w:bCs/>
        </w:rPr>
        <w:t>Obligatory Exercise 8</w:t>
      </w:r>
    </w:p>
    <w:p w:rsidR="00A10339" w:rsidRDefault="000059D5">
      <w:pPr>
        <w:pStyle w:val="Standard"/>
        <w:spacing w:line="360" w:lineRule="auto"/>
        <w:jc w:val="both"/>
      </w:pPr>
      <w:r>
        <w:t>1. A drainage basin is found to have the following data: Area of the basin = 2500 km2; Length of the main stream = 110 km, the perimeter of the basin = 367 km. Determine the form factor, circularity ratio, elongation ratio and the compactness coefficient for the basin.</w:t>
      </w:r>
      <w:r w:rsidR="00671B38">
        <w:t xml:space="preserve"> (se definitions below)</w:t>
      </w:r>
    </w:p>
    <w:p w:rsidR="00A10339" w:rsidRDefault="00A10339">
      <w:pPr>
        <w:pStyle w:val="Standard"/>
        <w:spacing w:line="360" w:lineRule="auto"/>
        <w:jc w:val="both"/>
      </w:pPr>
    </w:p>
    <w:p w:rsidR="00A10339" w:rsidRDefault="000059D5">
      <w:pPr>
        <w:pStyle w:val="Standard"/>
        <w:spacing w:line="360" w:lineRule="auto"/>
        <w:jc w:val="both"/>
      </w:pPr>
      <w:r>
        <w:t>2. For an urban watershed, estimate and compare the time of concentration using the Kirpich (1940), Chow</w:t>
      </w:r>
      <w:r w:rsidR="00671B38">
        <w:t xml:space="preserve"> </w:t>
      </w:r>
      <w:r>
        <w:t>(1962) and NERC (1975) methods and comment on your results. (for formula please refer Dingman Table 10.8, page 513) [Given: Length of Main stream (L) = 110 km, Sine of channel slope angle (S</w:t>
      </w:r>
      <w:r>
        <w:rPr>
          <w:sz w:val="21"/>
          <w:vertAlign w:val="subscript"/>
        </w:rPr>
        <w:t>c</w:t>
      </w:r>
      <w:r>
        <w:t>) = 0.35)</w:t>
      </w:r>
    </w:p>
    <w:p w:rsidR="00A10339" w:rsidRDefault="00A10339">
      <w:pPr>
        <w:pStyle w:val="Standard"/>
        <w:spacing w:line="360" w:lineRule="auto"/>
        <w:rPr>
          <w:i/>
          <w:iCs/>
        </w:rPr>
      </w:pPr>
    </w:p>
    <w:p w:rsidR="00A10339" w:rsidRDefault="00A10339">
      <w:pPr>
        <w:pStyle w:val="Standard"/>
        <w:spacing w:line="360" w:lineRule="auto"/>
        <w:rPr>
          <w:i/>
          <w:iCs/>
        </w:rPr>
      </w:pPr>
    </w:p>
    <w:p w:rsidR="00A10339" w:rsidRDefault="00A10339">
      <w:pPr>
        <w:pStyle w:val="Standard"/>
        <w:spacing w:line="360" w:lineRule="auto"/>
        <w:rPr>
          <w:i/>
          <w:iCs/>
        </w:rPr>
      </w:pPr>
    </w:p>
    <w:p w:rsidR="00A10339" w:rsidRDefault="000059D5">
      <w:pPr>
        <w:pStyle w:val="Standard"/>
        <w:spacing w:line="360" w:lineRule="auto"/>
      </w:pPr>
      <w:r>
        <w:rPr>
          <w:b/>
          <w:bCs/>
        </w:rPr>
        <w:t>Shape of basin</w:t>
      </w:r>
    </w:p>
    <w:p w:rsidR="00A10339" w:rsidRDefault="000059D5">
      <w:pPr>
        <w:pStyle w:val="Standard"/>
        <w:spacing w:line="360" w:lineRule="auto"/>
        <w:rPr>
          <w:i/>
          <w:iCs/>
        </w:rPr>
      </w:pPr>
      <w:r>
        <w:rPr>
          <w:i/>
          <w:iCs/>
        </w:rPr>
        <w:t>The shape of the basin is quantitatively measured by various factors such as form factor, circulatory ratio, elongation ratio and compactness coefficient.</w:t>
      </w:r>
    </w:p>
    <w:p w:rsidR="00671B38" w:rsidRDefault="00671B38">
      <w:pPr>
        <w:pStyle w:val="Standard"/>
        <w:spacing w:line="360" w:lineRule="auto"/>
        <w:rPr>
          <w:i/>
          <w:iCs/>
        </w:rPr>
      </w:pPr>
    </w:p>
    <w:p w:rsidR="00A10339" w:rsidRDefault="000059D5">
      <w:pPr>
        <w:pStyle w:val="Standard"/>
        <w:spacing w:line="360" w:lineRule="auto"/>
        <w:rPr>
          <w:i/>
          <w:iCs/>
        </w:rPr>
      </w:pPr>
      <w:r>
        <w:rPr>
          <w:i/>
          <w:iCs/>
        </w:rPr>
        <w:t xml:space="preserve">The form factor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i/>
          <w:iCs/>
        </w:rPr>
        <w:t>is defined as the ratio of the basin area to the square of the basin length. That is</w:t>
      </w:r>
    </w:p>
    <w:p w:rsidR="00A10339" w:rsidRDefault="00A10339">
      <w:pPr>
        <w:pStyle w:val="Standard"/>
        <w:spacing w:line="360" w:lineRule="auto"/>
        <w:rPr>
          <w:i/>
          <w:iCs/>
        </w:rPr>
      </w:pPr>
    </w:p>
    <w:p w:rsidR="00671B38" w:rsidRDefault="00056A73">
      <w:pPr>
        <w:pStyle w:val="Standard"/>
        <w:spacing w:line="360" w:lineRule="auto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A10339" w:rsidRDefault="000059D5">
      <w:pPr>
        <w:pStyle w:val="Standard"/>
        <w:spacing w:line="360" w:lineRule="auto"/>
        <w:rPr>
          <w:i/>
          <w:iCs/>
        </w:rPr>
      </w:pPr>
      <w:r>
        <w:rPr>
          <w:i/>
          <w:iCs/>
        </w:rPr>
        <w:t>Where, A is drainage basin area and L is drainage basin length.</w:t>
      </w:r>
    </w:p>
    <w:p w:rsidR="00A10339" w:rsidRDefault="00A10339">
      <w:pPr>
        <w:pStyle w:val="Standard"/>
        <w:spacing w:line="360" w:lineRule="auto"/>
        <w:rPr>
          <w:i/>
          <w:iCs/>
        </w:rPr>
      </w:pPr>
    </w:p>
    <w:p w:rsidR="00A10339" w:rsidRDefault="000059D5">
      <w:pPr>
        <w:pStyle w:val="Standard"/>
        <w:spacing w:line="360" w:lineRule="auto"/>
        <w:rPr>
          <w:i/>
          <w:iCs/>
        </w:rPr>
      </w:pPr>
      <w:r>
        <w:rPr>
          <w:i/>
          <w:iCs/>
        </w:rPr>
        <w:t xml:space="preserve">Circulatory ratio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i/>
          <w:iCs/>
        </w:rPr>
        <w:t>: It is a ratio of the drainage basin area</w:t>
      </w:r>
      <w:r w:rsidR="001B291A">
        <w:rPr>
          <w:i/>
          <w:iCs/>
        </w:rPr>
        <w:t xml:space="preserve"> </w:t>
      </w:r>
      <m:oMath>
        <m:r>
          <w:rPr>
            <w:rFonts w:ascii="Cambria Math" w:hAnsi="Cambria Math"/>
          </w:rPr>
          <m:t>A</m:t>
        </m:r>
      </m:oMath>
      <w:r>
        <w:rPr>
          <w:i/>
          <w:iCs/>
        </w:rPr>
        <w:t xml:space="preserve"> to the area of the circle whose perimeter</w:t>
      </w:r>
      <w:r w:rsidR="001B291A">
        <w:rPr>
          <w:i/>
          <w:iCs/>
        </w:rPr>
        <w:t xml:space="preserve"> </w:t>
      </w:r>
      <m:oMath>
        <m:r>
          <w:rPr>
            <w:rFonts w:ascii="Cambria Math" w:hAnsi="Cambria Math"/>
          </w:rPr>
          <m:t>p</m:t>
        </m:r>
      </m:oMath>
      <w:r>
        <w:rPr>
          <w:i/>
          <w:iCs/>
        </w:rPr>
        <w:t xml:space="preserve"> is equal to the perimeter of basin</w:t>
      </w:r>
    </w:p>
    <w:p w:rsidR="00A10339" w:rsidRDefault="00A10339">
      <w:pPr>
        <w:pStyle w:val="Standard"/>
        <w:spacing w:line="360" w:lineRule="auto"/>
        <w:rPr>
          <w:i/>
          <w:iCs/>
        </w:rPr>
      </w:pPr>
    </w:p>
    <w:p w:rsidR="005D54F5" w:rsidRDefault="00056A73">
      <w:pPr>
        <w:pStyle w:val="Standard"/>
        <w:spacing w:line="360" w:lineRule="auto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4πA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A10339" w:rsidRDefault="00A10339">
      <w:pPr>
        <w:pStyle w:val="Standard"/>
        <w:spacing w:line="360" w:lineRule="auto"/>
        <w:rPr>
          <w:i/>
          <w:iCs/>
        </w:rPr>
      </w:pPr>
    </w:p>
    <w:p w:rsidR="005F24F7" w:rsidRDefault="000059D5">
      <w:pPr>
        <w:pStyle w:val="Standard"/>
        <w:spacing w:line="360" w:lineRule="auto"/>
        <w:rPr>
          <w:i/>
          <w:iCs/>
        </w:rPr>
      </w:pPr>
      <w:r>
        <w:rPr>
          <w:i/>
          <w:iCs/>
        </w:rPr>
        <w:t>Elongation ratio Er: It is a ratio of diameter of a circle whose area is same as the area of drainage basin to the length of the basin.</w:t>
      </w:r>
    </w:p>
    <w:p w:rsidR="005F24F7" w:rsidRPr="005F24F7" w:rsidRDefault="00056A73">
      <w:pPr>
        <w:pStyle w:val="Standard"/>
        <w:spacing w:line="360" w:lineRule="auto"/>
        <w:rPr>
          <w:i/>
          <w:iCs/>
          <w:lang w:val="nb-N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nb-NO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nb-NO"/>
                </w:rPr>
                <m:t>r</m:t>
              </m:r>
            </m:sub>
          </m:sSub>
          <m:r>
            <w:rPr>
              <w:rFonts w:ascii="Cambria Math" w:hAnsi="Cambria Math"/>
              <w:lang w:val="nb-N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nb-NO"/>
                </w:rPr>
              </m:ctrlPr>
            </m:fPr>
            <m:num>
              <m:r>
                <w:rPr>
                  <w:rFonts w:ascii="Cambria Math" w:hAnsi="Cambria Math"/>
                  <w:lang w:val="nb-NO"/>
                </w:rPr>
                <m:t>D</m:t>
              </m:r>
            </m:num>
            <m:den>
              <m:r>
                <w:rPr>
                  <w:rFonts w:ascii="Cambria Math" w:hAnsi="Cambria Math"/>
                  <w:lang w:val="nb-NO"/>
                </w:rPr>
                <m:t>L</m:t>
              </m:r>
            </m:den>
          </m:f>
        </m:oMath>
      </m:oMathPara>
    </w:p>
    <w:p w:rsidR="00A10339" w:rsidRDefault="000059D5">
      <w:pPr>
        <w:pStyle w:val="Standard"/>
        <w:spacing w:line="360" w:lineRule="auto"/>
        <w:rPr>
          <w:i/>
          <w:iCs/>
        </w:rPr>
      </w:pPr>
      <w:r>
        <w:rPr>
          <w:i/>
          <w:iCs/>
        </w:rPr>
        <w:t>Er = D/L</w:t>
      </w:r>
    </w:p>
    <w:p w:rsidR="00A10339" w:rsidRDefault="000059D5">
      <w:pPr>
        <w:pStyle w:val="Standard"/>
        <w:spacing w:line="360" w:lineRule="auto"/>
        <w:rPr>
          <w:i/>
          <w:iCs/>
        </w:rPr>
      </w:pPr>
      <w:r>
        <w:rPr>
          <w:i/>
          <w:iCs/>
        </w:rPr>
        <w:t>Where, D is diameter of circle having area of drainage basin.</w:t>
      </w:r>
    </w:p>
    <w:p w:rsidR="00A10339" w:rsidRDefault="000059D5">
      <w:pPr>
        <w:pStyle w:val="Standard"/>
        <w:spacing w:line="360" w:lineRule="auto"/>
        <w:rPr>
          <w:i/>
          <w:iCs/>
        </w:rPr>
      </w:pPr>
      <w:r>
        <w:rPr>
          <w:i/>
          <w:iCs/>
        </w:rPr>
        <w:t>Compactness coefficient Cc: it is a ratio between perimeter of a drainage basin and perimeter of circle whose area is equal to the area of the area of drainage basin.</w:t>
      </w:r>
    </w:p>
    <w:p w:rsidR="005F24F7" w:rsidRPr="005F24F7" w:rsidRDefault="00056A73" w:rsidP="005F24F7">
      <w:pPr>
        <w:pStyle w:val="Standard"/>
        <w:spacing w:line="360" w:lineRule="auto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4πA</m:t>
                  </m:r>
                </m:e>
              </m:rad>
            </m:den>
          </m:f>
        </m:oMath>
      </m:oMathPara>
    </w:p>
    <w:sectPr w:rsidR="005F24F7" w:rsidRPr="005F24F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A73" w:rsidRDefault="00056A73">
      <w:r>
        <w:separator/>
      </w:r>
    </w:p>
  </w:endnote>
  <w:endnote w:type="continuationSeparator" w:id="0">
    <w:p w:rsidR="00056A73" w:rsidRDefault="00056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default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A73" w:rsidRDefault="00056A73">
      <w:r>
        <w:rPr>
          <w:color w:val="000000"/>
        </w:rPr>
        <w:separator/>
      </w:r>
    </w:p>
  </w:footnote>
  <w:footnote w:type="continuationSeparator" w:id="0">
    <w:p w:rsidR="00056A73" w:rsidRDefault="00056A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339"/>
    <w:rsid w:val="000059D5"/>
    <w:rsid w:val="00056A73"/>
    <w:rsid w:val="001B291A"/>
    <w:rsid w:val="002F0B7F"/>
    <w:rsid w:val="005D54F5"/>
    <w:rsid w:val="005F24F7"/>
    <w:rsid w:val="00671B38"/>
    <w:rsid w:val="00725DD0"/>
    <w:rsid w:val="00A10339"/>
    <w:rsid w:val="00D559AF"/>
    <w:rsid w:val="00E9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n-US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Normal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rPr>
      <w:rFonts w:ascii="Tahoma" w:hAnsi="Tahoma" w:cs="Mangal"/>
      <w:sz w:val="16"/>
      <w:szCs w:val="14"/>
    </w:rPr>
  </w:style>
  <w:style w:type="character" w:styleId="PlaceholderText">
    <w:name w:val="Placeholder Text"/>
    <w:basedOn w:val="DefaultParagraphFont"/>
    <w:uiPriority w:val="99"/>
    <w:semiHidden/>
    <w:rsid w:val="005D54F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n-US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Normal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rPr>
      <w:rFonts w:ascii="Tahoma" w:hAnsi="Tahoma" w:cs="Mangal"/>
      <w:sz w:val="16"/>
      <w:szCs w:val="14"/>
    </w:rPr>
  </w:style>
  <w:style w:type="character" w:styleId="PlaceholderText">
    <w:name w:val="Placeholder Text"/>
    <w:basedOn w:val="DefaultParagraphFont"/>
    <w:uiPriority w:val="99"/>
    <w:semiHidden/>
    <w:rsid w:val="005D54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Håvard Kristiansen</dc:creator>
  <cp:lastModifiedBy>Håvard Kristiansen</cp:lastModifiedBy>
  <cp:revision>3</cp:revision>
  <dcterms:created xsi:type="dcterms:W3CDTF">2017-03-21T12:05:00Z</dcterms:created>
  <dcterms:modified xsi:type="dcterms:W3CDTF">2017-03-22T10:09:00Z</dcterms:modified>
</cp:coreProperties>
</file>