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B2545"/>
          <w:sz w:val="52"/>
        </w:rPr>
        <w:t>NovaFlow AWS Recap And Teardown</w:t>
      </w:r>
    </w:p>
    <w:p>
      <w:pPr>
        <w:spacing w:after="240"/>
      </w:pPr>
      <w:r>
        <w:rPr>
          <w:rFonts w:ascii="Calibri" w:hAnsi="Calibri"/>
          <w:color w:val="64748B"/>
          <w:sz w:val="22"/>
        </w:rPr>
        <w:t>Documented 2026-08-12 | AWS learning deployment recap and teardown guide</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EEF6FF"/>
            <w:tcMar>
              <w:top w:w="120" w:type="dxa"/>
              <w:start w:w="160" w:type="dxa"/>
              <w:bottom w:w="120" w:type="dxa"/>
              <w:end w:w="160" w:type="dxa"/>
            </w:tcMar>
          </w:tcPr>
          <w:p>
            <w:pPr>
              <w:spacing w:after="0"/>
            </w:pPr>
            <w:r>
              <w:rPr>
                <w:rFonts w:ascii="Calibri" w:hAnsi="Calibri"/>
                <w:b/>
                <w:color w:val="1F4D78"/>
                <w:sz w:val="21"/>
              </w:rPr>
              <w:t xml:space="preserve">Purpose: </w:t>
            </w:r>
            <w:r>
              <w:rPr>
                <w:rFonts w:ascii="Calibri" w:hAnsi="Calibri"/>
                <w:color w:val="1F2937"/>
                <w:sz w:val="21"/>
              </w:rPr>
              <w:t>Capture what was built, what each AWS service did, and the safest order to tear it down before idle cloud costs keep running.</w:t>
            </w:r>
          </w:p>
        </w:tc>
      </w:tr>
    </w:tbl>
    <w:p>
      <w:pPr>
        <w:spacing w:after="40"/>
      </w:pPr>
    </w:p>
    <w:p>
      <w:pPr>
        <w:pStyle w:val="Heading1"/>
      </w:pPr>
      <w:r>
        <w:rPr>
          <w:rFonts w:ascii="Calibri" w:hAnsi="Calibri"/>
          <w:b/>
          <w:color w:val="2E74B5"/>
          <w:sz w:val="32"/>
        </w:rPr>
        <w:t>Final Shape</w:t>
      </w:r>
    </w:p>
    <w:p>
      <w:r>
        <w:rPr>
          <w:rFonts w:ascii="Calibri" w:hAnsi="Calibri"/>
          <w:b w:val="0"/>
          <w:color w:val="1F2937"/>
          <w:sz w:val="22"/>
        </w:rPr>
        <w:t>NovaFlow moved from one EC2 box running Docker Compose to a small AWS-backed production shape. EC2 still supplies compute, but AWS services now own routing, certificates, deployment access, secrets, logs, image storage, and database hosting.</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F8FAFC"/>
            <w:tcMar>
              <w:top w:w="120" w:type="dxa"/>
              <w:start w:w="160" w:type="dxa"/>
              <w:bottom w:w="120" w:type="dxa"/>
              <w:end w:w="160" w:type="dxa"/>
            </w:tcMar>
          </w:tcPr>
          <w:p>
            <w:pPr>
              <w:spacing w:after="0"/>
            </w:pPr>
            <w:r>
              <w:rPr>
                <w:rFonts w:ascii="Courier New" w:hAnsi="Courier New"/>
                <w:color w:val="1F2937"/>
                <w:sz w:val="19"/>
              </w:rPr>
              <w:t>Browser: novaflow.dotze.co.za</w:t>
            </w:r>
            <w:r>
              <w:br/>
            </w:r>
            <w:r>
              <w:rPr>
                <w:rFonts w:ascii="Courier New" w:hAnsi="Courier New"/>
                <w:color w:val="1F2937"/>
                <w:sz w:val="19"/>
              </w:rPr>
              <w:t xml:space="preserve">  -&gt; Afrihost DNS CNAME</w:t>
            </w:r>
            <w:r>
              <w:br/>
            </w:r>
            <w:r>
              <w:rPr>
                <w:rFonts w:ascii="Courier New" w:hAnsi="Courier New"/>
                <w:color w:val="1F2937"/>
                <w:sz w:val="19"/>
              </w:rPr>
              <w:t xml:space="preserve">  -&gt; Application Load Balancer + ACM certificate</w:t>
            </w:r>
            <w:r>
              <w:br/>
            </w:r>
            <w:r>
              <w:rPr>
                <w:rFonts w:ascii="Courier New" w:hAnsi="Courier New"/>
                <w:color w:val="1F2937"/>
                <w:sz w:val="19"/>
              </w:rPr>
              <w:t xml:space="preserve">      -&gt; ECS frontend service: novaflow-novafront</w:t>
            </w:r>
            <w:r>
              <w:br/>
            </w:r>
            <w:r>
              <w:rPr>
                <w:rFonts w:ascii="Courier New" w:hAnsi="Courier New"/>
                <w:color w:val="1F2937"/>
                <w:sz w:val="19"/>
              </w:rPr>
              <w:t xml:space="preserve">      -&gt; ECS backend service: novaflow-backend</w:t>
            </w:r>
            <w:r>
              <w:br/>
            </w:r>
            <w:r>
              <w:rPr>
                <w:rFonts w:ascii="Courier New" w:hAnsi="Courier New"/>
                <w:color w:val="1F2937"/>
                <w:sz w:val="19"/>
              </w:rPr>
              <w:t xml:space="preserve">          -&gt; RDS PostgreSQL</w:t>
            </w:r>
            <w:r>
              <w:br/>
            </w:r>
            <w:r>
              <w:rPr>
                <w:rFonts w:ascii="Courier New" w:hAnsi="Courier New"/>
                <w:color w:val="1F2937"/>
                <w:sz w:val="19"/>
              </w:rPr>
              <w:t xml:space="preserve">          -&gt; SSM Parameter Store</w:t>
            </w:r>
            <w:r>
              <w:br/>
            </w:r>
            <w:r>
              <w:rPr>
                <w:rFonts w:ascii="Courier New" w:hAnsi="Courier New"/>
                <w:color w:val="1F2937"/>
                <w:sz w:val="19"/>
              </w:rPr>
              <w:t xml:space="preserve">          -&gt; CloudWatch Logs</w:t>
            </w:r>
            <w:r>
              <w:br/>
            </w:r>
            <w:r>
              <w:rPr>
                <w:rFonts w:ascii="Courier New" w:hAnsi="Courier New"/>
                <w:color w:val="1F2937"/>
                <w:sz w:val="19"/>
              </w:rPr>
              <w:t>Images: GitHub Actions builds -&gt; ECR stores -&gt; ECS pulls</w:t>
            </w:r>
          </w:p>
        </w:tc>
      </w:tr>
    </w:tbl>
    <w:p>
      <w:pPr>
        <w:spacing w:after="80"/>
      </w:pPr>
    </w:p>
    <w:p>
      <w:pPr>
        <w:pStyle w:val="Heading1"/>
      </w:pPr>
      <w:r>
        <w:rPr>
          <w:rFonts w:ascii="Calibri" w:hAnsi="Calibri"/>
          <w:b/>
          <w:color w:val="2E74B5"/>
          <w:sz w:val="32"/>
        </w:rPr>
        <w:t>What Each AWS Service Did</w:t>
      </w:r>
    </w:p>
    <w:tbl>
      <w:tblPr>
        <w:tblW w:type="dxa" w:w="9360"/>
        <w:jc w:val="center"/>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2200"/>
            <w:shd w:fill="E8EEF5"/>
            <w:tcMar>
              <w:top w:w="80" w:type="dxa"/>
              <w:start w:w="120" w:type="dxa"/>
              <w:bottom w:w="80" w:type="dxa"/>
              <w:end w:w="120" w:type="dxa"/>
            </w:tcMar>
            <w:vAlign w:val="center"/>
          </w:tcPr>
          <w:p>
            <w:pPr>
              <w:spacing w:after="0"/>
            </w:pPr>
            <w:r>
              <w:rPr>
                <w:rFonts w:ascii="Calibri" w:hAnsi="Calibri"/>
                <w:b/>
                <w:color w:val="1F4D78"/>
                <w:sz w:val="20"/>
              </w:rPr>
              <w:t>Service</w:t>
            </w:r>
          </w:p>
        </w:tc>
        <w:tc>
          <w:tcPr>
            <w:tcW w:type="dxa" w:w="7160"/>
            <w:shd w:fill="E8EEF5"/>
            <w:tcMar>
              <w:top w:w="80" w:type="dxa"/>
              <w:start w:w="120" w:type="dxa"/>
              <w:bottom w:w="80" w:type="dxa"/>
              <w:end w:w="120" w:type="dxa"/>
            </w:tcMar>
            <w:vAlign w:val="center"/>
          </w:tcPr>
          <w:p>
            <w:pPr>
              <w:spacing w:after="0"/>
            </w:pPr>
            <w:r>
              <w:rPr>
                <w:rFonts w:ascii="Calibri" w:hAnsi="Calibri"/>
                <w:b/>
                <w:color w:val="1F4D78"/>
                <w:sz w:val="20"/>
              </w:rPr>
              <w:t>What it did for NovaFlow</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EC2</w:t>
            </w:r>
          </w:p>
        </w:tc>
        <w:tc>
          <w:tcPr>
            <w:tcW w:type="dxa" w:w="7160"/>
            <w:tcMar>
              <w:top w:w="80" w:type="dxa"/>
              <w:start w:w="120" w:type="dxa"/>
              <w:bottom w:w="80" w:type="dxa"/>
              <w:end w:w="120" w:type="dxa"/>
            </w:tcMar>
            <w:vAlign w:val="center"/>
          </w:tcPr>
          <w:p>
            <w:pPr>
              <w:spacing w:after="0"/>
            </w:pPr>
            <w:r>
              <w:rPr>
                <w:rFonts w:ascii="Calibri" w:hAnsi="Calibri"/>
                <w:color w:val="1F2937"/>
                <w:sz w:val="19"/>
              </w:rPr>
              <w:t>Supplied the CPU and memory where ECS runs containers. It is still the server, but no longer owns the whole deployment process by itself.</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ALB</w:t>
            </w:r>
          </w:p>
        </w:tc>
        <w:tc>
          <w:tcPr>
            <w:tcW w:type="dxa" w:w="7160"/>
            <w:tcMar>
              <w:top w:w="80" w:type="dxa"/>
              <w:start w:w="120" w:type="dxa"/>
              <w:bottom w:w="80" w:type="dxa"/>
              <w:end w:w="120" w:type="dxa"/>
            </w:tcMar>
            <w:vAlign w:val="center"/>
          </w:tcPr>
          <w:p>
            <w:pPr>
              <w:spacing w:after="0"/>
            </w:pPr>
            <w:r>
              <w:rPr>
                <w:rFonts w:ascii="Calibri" w:hAnsi="Calibri"/>
                <w:color w:val="1F2937"/>
                <w:sz w:val="19"/>
              </w:rPr>
              <w:t>Became the public web entry point. It handles browser traffic and routes frontend paths to the frontend service, and API/OAuth paths to the backend gateway service.</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ACM</w:t>
            </w:r>
          </w:p>
        </w:tc>
        <w:tc>
          <w:tcPr>
            <w:tcW w:type="dxa" w:w="7160"/>
            <w:tcMar>
              <w:top w:w="80" w:type="dxa"/>
              <w:start w:w="120" w:type="dxa"/>
              <w:bottom w:w="80" w:type="dxa"/>
              <w:end w:w="120" w:type="dxa"/>
            </w:tcMar>
            <w:vAlign w:val="center"/>
          </w:tcPr>
          <w:p>
            <w:pPr>
              <w:spacing w:after="0"/>
            </w:pPr>
            <w:r>
              <w:rPr>
                <w:rFonts w:ascii="Calibri" w:hAnsi="Calibri"/>
                <w:color w:val="1F2937"/>
                <w:sz w:val="19"/>
              </w:rPr>
              <w:t>Issued the HTTPS certificate for novaflow.dotze.co.za. The ALB uses this certificate, so certbot no longer has to be managed on the server.</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SSM Session Manager and Run Command</w:t>
            </w:r>
          </w:p>
        </w:tc>
        <w:tc>
          <w:tcPr>
            <w:tcW w:type="dxa" w:w="7160"/>
            <w:tcMar>
              <w:top w:w="80" w:type="dxa"/>
              <w:start w:w="120" w:type="dxa"/>
              <w:bottom w:w="80" w:type="dxa"/>
              <w:end w:w="120" w:type="dxa"/>
            </w:tcMar>
            <w:vAlign w:val="center"/>
          </w:tcPr>
          <w:p>
            <w:pPr>
              <w:spacing w:after="0"/>
            </w:pPr>
            <w:r>
              <w:rPr>
                <w:rFonts w:ascii="Calibri" w:hAnsi="Calibri"/>
                <w:color w:val="1F2937"/>
                <w:sz w:val="19"/>
              </w:rPr>
              <w:t>Replaced public SSH as the main way to control EC2. GitHub can ask AWS to run deployment commands without opening SSH to the internet.</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SSM Parameter Store</w:t>
            </w:r>
          </w:p>
        </w:tc>
        <w:tc>
          <w:tcPr>
            <w:tcW w:type="dxa" w:w="7160"/>
            <w:tcMar>
              <w:top w:w="80" w:type="dxa"/>
              <w:start w:w="120" w:type="dxa"/>
              <w:bottom w:w="80" w:type="dxa"/>
              <w:end w:w="120" w:type="dxa"/>
            </w:tcMar>
            <w:vAlign w:val="center"/>
          </w:tcPr>
          <w:p>
            <w:pPr>
              <w:spacing w:after="0"/>
            </w:pPr>
            <w:r>
              <w:rPr>
                <w:rFonts w:ascii="Calibri" w:hAnsi="Calibri"/>
                <w:color w:val="1F2937"/>
                <w:sz w:val="19"/>
              </w:rPr>
              <w:t>Holds production secrets and config values, replacing long-lived .env files on EC2. ECS injects those values into containers at runtime.</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CloudWatch Logs</w:t>
            </w:r>
          </w:p>
        </w:tc>
        <w:tc>
          <w:tcPr>
            <w:tcW w:type="dxa" w:w="7160"/>
            <w:tcMar>
              <w:top w:w="80" w:type="dxa"/>
              <w:start w:w="120" w:type="dxa"/>
              <w:bottom w:w="80" w:type="dxa"/>
              <w:end w:w="120" w:type="dxa"/>
            </w:tcMar>
            <w:vAlign w:val="center"/>
          </w:tcPr>
          <w:p>
            <w:pPr>
              <w:spacing w:after="0"/>
            </w:pPr>
            <w:r>
              <w:rPr>
                <w:rFonts w:ascii="Calibri" w:hAnsi="Calibri"/>
                <w:color w:val="1F2937"/>
                <w:sz w:val="19"/>
              </w:rPr>
              <w:t>Receives container logs, reducing the need to SSH in and run docker logs for normal troubleshooting.</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RDS PostgreSQL</w:t>
            </w:r>
          </w:p>
        </w:tc>
        <w:tc>
          <w:tcPr>
            <w:tcW w:type="dxa" w:w="7160"/>
            <w:tcMar>
              <w:top w:w="80" w:type="dxa"/>
              <w:start w:w="120" w:type="dxa"/>
              <w:bottom w:w="80" w:type="dxa"/>
              <w:end w:w="120" w:type="dxa"/>
            </w:tcMar>
            <w:vAlign w:val="center"/>
          </w:tcPr>
          <w:p>
            <w:pPr>
              <w:spacing w:after="0"/>
            </w:pPr>
            <w:r>
              <w:rPr>
                <w:rFonts w:ascii="Calibri" w:hAnsi="Calibri"/>
                <w:color w:val="1F2937"/>
                <w:sz w:val="19"/>
              </w:rPr>
              <w:t>Holds application databases outside EC2, so PostgreSQL no longer consumes EC2 memory, CPU, and disk.</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ECR</w:t>
            </w:r>
          </w:p>
        </w:tc>
        <w:tc>
          <w:tcPr>
            <w:tcW w:type="dxa" w:w="7160"/>
            <w:tcMar>
              <w:top w:w="80" w:type="dxa"/>
              <w:start w:w="120" w:type="dxa"/>
              <w:bottom w:w="80" w:type="dxa"/>
              <w:end w:w="120" w:type="dxa"/>
            </w:tcMar>
            <w:vAlign w:val="center"/>
          </w:tcPr>
          <w:p>
            <w:pPr>
              <w:spacing w:after="0"/>
            </w:pPr>
            <w:r>
              <w:rPr>
                <w:rFonts w:ascii="Calibri" w:hAnsi="Calibri"/>
                <w:color w:val="1F2937"/>
                <w:sz w:val="19"/>
              </w:rPr>
              <w:t>Stores Docker images in AWS instead of GitHub Container Registry. GitHub Actions builds the images, pushes them to ECR, and ECS pulls from ECR.</w:t>
            </w:r>
          </w:p>
        </w:tc>
      </w:tr>
      <w:tr>
        <w:tc>
          <w:tcPr>
            <w:tcW w:type="dxa" w:w="2200"/>
            <w:tcMar>
              <w:top w:w="80" w:type="dxa"/>
              <w:start w:w="120" w:type="dxa"/>
              <w:bottom w:w="80" w:type="dxa"/>
              <w:end w:w="120" w:type="dxa"/>
            </w:tcMar>
            <w:vAlign w:val="center"/>
          </w:tcPr>
          <w:p>
            <w:pPr>
              <w:spacing w:after="0"/>
            </w:pPr>
            <w:r>
              <w:rPr>
                <w:rFonts w:ascii="Calibri" w:hAnsi="Calibri"/>
                <w:color w:val="1F2937"/>
                <w:sz w:val="19"/>
              </w:rPr>
              <w:t>ECS</w:t>
            </w:r>
          </w:p>
        </w:tc>
        <w:tc>
          <w:tcPr>
            <w:tcW w:type="dxa" w:w="7160"/>
            <w:tcMar>
              <w:top w:w="80" w:type="dxa"/>
              <w:start w:w="120" w:type="dxa"/>
              <w:bottom w:w="80" w:type="dxa"/>
              <w:end w:w="120" w:type="dxa"/>
            </w:tcMar>
            <w:vAlign w:val="center"/>
          </w:tcPr>
          <w:p>
            <w:pPr>
              <w:spacing w:after="0"/>
            </w:pPr>
            <w:r>
              <w:rPr>
                <w:rFonts w:ascii="Calibri" w:hAnsi="Calibri"/>
                <w:color w:val="1F2937"/>
                <w:sz w:val="19"/>
              </w:rPr>
              <w:t>Owns container startup, replacement, health checks, and rollback behavior for the frontend and backend services.</w:t>
            </w:r>
          </w:p>
        </w:tc>
      </w:tr>
    </w:tbl>
    <w:p>
      <w:pPr>
        <w:spacing w:after="80"/>
      </w:pPr>
    </w:p>
    <w:p>
      <w:pPr>
        <w:pStyle w:val="Heading1"/>
      </w:pPr>
      <w:r>
        <w:rPr>
          <w:rFonts w:ascii="Calibri" w:hAnsi="Calibri"/>
          <w:b/>
          <w:color w:val="2E74B5"/>
          <w:sz w:val="32"/>
        </w:rPr>
        <w:t>Current Request Flow</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F8FAFC"/>
            <w:tcMar>
              <w:top w:w="120" w:type="dxa"/>
              <w:start w:w="160" w:type="dxa"/>
              <w:bottom w:w="120" w:type="dxa"/>
              <w:end w:w="160" w:type="dxa"/>
            </w:tcMar>
          </w:tcPr>
          <w:p>
            <w:pPr>
              <w:spacing w:after="0"/>
            </w:pPr>
            <w:r>
              <w:rPr>
                <w:rFonts w:ascii="Courier New" w:hAnsi="Courier New"/>
                <w:color w:val="1F2937"/>
                <w:sz w:val="19"/>
              </w:rPr>
              <w:t>Browser</w:t>
            </w:r>
            <w:r>
              <w:br/>
            </w:r>
            <w:r>
              <w:rPr>
                <w:rFonts w:ascii="Courier New" w:hAnsi="Courier New"/>
                <w:color w:val="1F2937"/>
                <w:sz w:val="19"/>
              </w:rPr>
              <w:t xml:space="preserve">  -&gt; ALB HTTPS listener</w:t>
            </w:r>
            <w:r>
              <w:br/>
            </w:r>
            <w:r>
              <w:rPr>
                <w:rFonts w:ascii="Courier New" w:hAnsi="Courier New"/>
                <w:color w:val="1F2937"/>
                <w:sz w:val="19"/>
              </w:rPr>
              <w:t xml:space="preserve">      -&gt; default / -&gt; novaflow-frontend-tg -&gt; novaflow-novafront task</w:t>
            </w:r>
            <w:r>
              <w:br/>
            </w:r>
            <w:r>
              <w:rPr>
                <w:rFonts w:ascii="Courier New" w:hAnsi="Courier New"/>
                <w:color w:val="1F2937"/>
                <w:sz w:val="19"/>
              </w:rPr>
              <w:t xml:space="preserve">      -&gt; /api/*, /oauth2/*, /login/oauth2/*</w:t>
            </w:r>
            <w:r>
              <w:br/>
            </w:r>
            <w:r>
              <w:rPr>
                <w:rFonts w:ascii="Courier New" w:hAnsi="Courier New"/>
                <w:color w:val="1F2937"/>
                <w:sz w:val="19"/>
              </w:rPr>
              <w:t xml:space="preserve">          -&gt; novaflow-api-gateway-tg -&gt; api-gateway container</w:t>
            </w:r>
            <w:r>
              <w:br/>
            </w:r>
            <w:r>
              <w:rPr>
                <w:rFonts w:ascii="Courier New" w:hAnsi="Courier New"/>
                <w:color w:val="1F2937"/>
                <w:sz w:val="19"/>
              </w:rPr>
              <w:t xml:space="preserve">              -&gt; user, idea, ai, chat, email services</w:t>
            </w:r>
            <w:r>
              <w:br/>
            </w:r>
            <w:r>
              <w:rPr>
                <w:rFonts w:ascii="Courier New" w:hAnsi="Courier New"/>
                <w:color w:val="1F2937"/>
                <w:sz w:val="19"/>
              </w:rPr>
              <w:t xml:space="preserve">                  -&gt; RDS PostgreSQL and RabbitMQ container</w:t>
            </w:r>
          </w:p>
        </w:tc>
      </w:tr>
    </w:tbl>
    <w:p>
      <w:pPr>
        <w:spacing w:after="80"/>
      </w:pPr>
    </w:p>
    <w:p>
      <w:pPr>
        <w:pStyle w:val="Heading1"/>
      </w:pPr>
      <w:r>
        <w:rPr>
          <w:rFonts w:ascii="Calibri" w:hAnsi="Calibri"/>
          <w:b/>
          <w:color w:val="2E74B5"/>
          <w:sz w:val="32"/>
        </w:rPr>
        <w:t>Current Deployment Flow</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F8FAFC"/>
            <w:tcMar>
              <w:top w:w="120" w:type="dxa"/>
              <w:start w:w="160" w:type="dxa"/>
              <w:bottom w:w="120" w:type="dxa"/>
              <w:end w:w="160" w:type="dxa"/>
            </w:tcMar>
          </w:tcPr>
          <w:p>
            <w:pPr>
              <w:spacing w:after="0"/>
            </w:pPr>
            <w:r>
              <w:rPr>
                <w:rFonts w:ascii="Courier New" w:hAnsi="Courier New"/>
                <w:color w:val="1F2937"/>
                <w:sz w:val="19"/>
              </w:rPr>
              <w:t>Push to GitHub</w:t>
            </w:r>
            <w:r>
              <w:br/>
            </w:r>
            <w:r>
              <w:rPr>
                <w:rFonts w:ascii="Courier New" w:hAnsi="Courier New"/>
                <w:color w:val="1F2937"/>
                <w:sz w:val="19"/>
              </w:rPr>
              <w:t xml:space="preserve">  -&gt; GitHub Actions</w:t>
            </w:r>
            <w:r>
              <w:br/>
            </w:r>
            <w:r>
              <w:rPr>
                <w:rFonts w:ascii="Courier New" w:hAnsi="Courier New"/>
                <w:color w:val="1F2937"/>
                <w:sz w:val="19"/>
              </w:rPr>
              <w:t xml:space="preserve">  -&gt; Build Docker images</w:t>
            </w:r>
            <w:r>
              <w:br/>
            </w:r>
            <w:r>
              <w:rPr>
                <w:rFonts w:ascii="Courier New" w:hAnsi="Courier New"/>
                <w:color w:val="1F2937"/>
                <w:sz w:val="19"/>
              </w:rPr>
              <w:t xml:space="preserve">  -&gt; Push images to ECR</w:t>
            </w:r>
            <w:r>
              <w:br/>
            </w:r>
            <w:r>
              <w:rPr>
                <w:rFonts w:ascii="Courier New" w:hAnsi="Courier New"/>
                <w:color w:val="1F2937"/>
                <w:sz w:val="19"/>
              </w:rPr>
              <w:t xml:space="preserve">  -&gt; Update ECS services</w:t>
            </w:r>
            <w:r>
              <w:br/>
            </w:r>
            <w:r>
              <w:rPr>
                <w:rFonts w:ascii="Courier New" w:hAnsi="Courier New"/>
                <w:color w:val="1F2937"/>
                <w:sz w:val="19"/>
              </w:rPr>
              <w:t xml:space="preserve">  -&gt; ALB health checks</w:t>
            </w:r>
            <w:r>
              <w:br/>
            </w:r>
            <w:r>
              <w:rPr>
                <w:rFonts w:ascii="Courier New" w:hAnsi="Courier New"/>
                <w:color w:val="1F2937"/>
                <w:sz w:val="19"/>
              </w:rPr>
              <w:t xml:space="preserve">  -&gt; New tasks serve traffic, or ECS circuit breaker rolls back</w:t>
            </w:r>
          </w:p>
        </w:tc>
      </w:tr>
    </w:tbl>
    <w:p>
      <w:pPr>
        <w:spacing w:after="80"/>
      </w:pP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FFF7E6"/>
            <w:tcMar>
              <w:top w:w="120" w:type="dxa"/>
              <w:start w:w="160" w:type="dxa"/>
              <w:bottom w:w="120" w:type="dxa"/>
              <w:end w:w="160" w:type="dxa"/>
            </w:tcMar>
          </w:tcPr>
          <w:p>
            <w:pPr>
              <w:spacing w:after="0"/>
            </w:pPr>
            <w:r>
              <w:rPr>
                <w:rFonts w:ascii="Calibri" w:hAnsi="Calibri"/>
                <w:b/>
                <w:color w:val="1F4D78"/>
                <w:sz w:val="21"/>
              </w:rPr>
              <w:t xml:space="preserve">Important caveat: </w:t>
            </w:r>
            <w:r>
              <w:rPr>
                <w:rFonts w:ascii="Calibri" w:hAnsi="Calibri"/>
                <w:color w:val="1F2937"/>
                <w:sz w:val="21"/>
              </w:rPr>
              <w:t>Older deployment scripts and documentation still exist because they were used during the migration. If the GitHub workflow still uses builder/production-release/deploy-stack.sh, then the source checkout on EC2 is still needed. Once the workflow updates ECS task definitions directly and no longer runs the Compose deploy script, EC2 does not need the full repository for normal releases.</w:t>
            </w:r>
          </w:p>
        </w:tc>
      </w:tr>
    </w:tbl>
    <w:p>
      <w:pPr>
        <w:spacing w:after="40"/>
      </w:pPr>
    </w:p>
    <w:p>
      <w:pPr>
        <w:pStyle w:val="Heading1"/>
      </w:pPr>
      <w:r>
        <w:rPr>
          <w:rFonts w:ascii="Calibri" w:hAnsi="Calibri"/>
          <w:b/>
          <w:color w:val="2E74B5"/>
          <w:sz w:val="32"/>
        </w:rPr>
        <w:t>Useful Resource Names</w:t>
      </w:r>
    </w:p>
    <w:tbl>
      <w:tblPr>
        <w:tblW w:type="dxa" w:w="9360"/>
        <w:jc w:val="center"/>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3000"/>
            <w:shd w:fill="E8EEF5"/>
            <w:tcMar>
              <w:top w:w="80" w:type="dxa"/>
              <w:start w:w="120" w:type="dxa"/>
              <w:bottom w:w="80" w:type="dxa"/>
              <w:end w:w="120" w:type="dxa"/>
            </w:tcMar>
            <w:vAlign w:val="center"/>
          </w:tcPr>
          <w:p>
            <w:pPr>
              <w:spacing w:after="0"/>
            </w:pPr>
            <w:r>
              <w:rPr>
                <w:rFonts w:ascii="Calibri" w:hAnsi="Calibri"/>
                <w:b/>
                <w:color w:val="1F4D78"/>
                <w:sz w:val="20"/>
              </w:rPr>
              <w:t>Resource</w:t>
            </w:r>
          </w:p>
        </w:tc>
        <w:tc>
          <w:tcPr>
            <w:tcW w:type="dxa" w:w="6360"/>
            <w:shd w:fill="E8EEF5"/>
            <w:tcMar>
              <w:top w:w="80" w:type="dxa"/>
              <w:start w:w="120" w:type="dxa"/>
              <w:bottom w:w="80" w:type="dxa"/>
              <w:end w:w="120" w:type="dxa"/>
            </w:tcMar>
            <w:vAlign w:val="center"/>
          </w:tcPr>
          <w:p>
            <w:pPr>
              <w:spacing w:after="0"/>
            </w:pPr>
            <w:r>
              <w:rPr>
                <w:rFonts w:ascii="Calibri" w:hAnsi="Calibri"/>
                <w:b/>
                <w:color w:val="1F4D78"/>
                <w:sz w:val="20"/>
              </w:rPr>
              <w:t>Name</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Domain</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novaflow.dotze.co.za</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AWS region</w:t>
            </w:r>
          </w:p>
        </w:tc>
        <w:tc>
          <w:tcPr>
            <w:tcW w:type="dxa" w:w="6360"/>
            <w:tcMar>
              <w:top w:w="80" w:type="dxa"/>
              <w:start w:w="120" w:type="dxa"/>
              <w:bottom w:w="80" w:type="dxa"/>
              <w:end w:w="120" w:type="dxa"/>
            </w:tcMar>
            <w:vAlign w:val="center"/>
          </w:tcPr>
          <w:p>
            <w:pPr>
              <w:spacing w:after="0"/>
            </w:pPr>
            <w:r>
              <w:rPr>
                <w:rFonts w:ascii="Calibri" w:hAnsi="Calibri"/>
                <w:color w:val="1F2937"/>
                <w:sz w:val="19"/>
              </w:rPr>
              <w:t>us-east-1</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ECS cluster</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novaflow-production</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Frontend ECS service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novaflow-novafront</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Backend ECS service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novaflow-backend</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Frontend task family</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novaflow-novafront-ec2</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Backend task family</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novaflow-backend-ec2</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ALB</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novaflow-alb</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Frontend target group</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novaflow-frontend-tg</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API target group</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novaflow-api-gateway-tg</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RDS instance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novaflow-postgres</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RDS endpoint</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novaflow-postgres.cmh8qyq0su15.us-east-1.rds.amazonaws.com</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ECR namespace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CloudWatch log group</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/novaflow/production</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Production parameters</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/novaflow/production/env/*</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EC2 role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NovaFlowEC2SSMRole</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ECS task execution role</w:t>
            </w:r>
          </w:p>
        </w:tc>
        <w:tc>
          <w:tcPr>
            <w:tcW w:type="dxa" w:w="6360"/>
            <w:tcMar>
              <w:top w:w="80" w:type="dxa"/>
              <w:start w:w="120" w:type="dxa"/>
              <w:bottom w:w="80" w:type="dxa"/>
              <w:end w:w="120" w:type="dxa"/>
            </w:tcMar>
            <w:vAlign w:val="center"/>
          </w:tcPr>
          <w:p>
            <w:pPr>
              <w:spacing w:after="0"/>
            </w:pPr>
            <w:r>
              <w:rPr>
                <w:rFonts w:ascii="Calibri" w:hAnsi="Calibri"/>
                <w:color w:val="1F2937"/>
                <w:sz w:val="19"/>
              </w:rPr>
              <w:t>ecsTaskExecutionRole</w:t>
            </w:r>
          </w:p>
        </w:tc>
      </w:tr>
      <w:tr>
        <w:tc>
          <w:tcPr>
            <w:tcW w:type="dxa" w:w="3000"/>
            <w:tcMar>
              <w:top w:w="80" w:type="dxa"/>
              <w:start w:w="120" w:type="dxa"/>
              <w:bottom w:w="80" w:type="dxa"/>
              <w:end w:w="120" w:type="dxa"/>
            </w:tcMar>
            <w:vAlign w:val="center"/>
          </w:tcPr>
          <w:p>
            <w:pPr>
              <w:spacing w:after="0"/>
            </w:pPr>
            <w:r>
              <w:rPr>
                <w:rFonts w:ascii="Calibri" w:hAnsi="Calibri"/>
                <w:color w:val="1F2937"/>
                <w:sz w:val="19"/>
              </w:rPr>
              <w:t>GitHub deploy role</w:t>
            </w:r>
          </w:p>
        </w:tc>
        <w:tc>
          <w:tcPr>
            <w:tcW w:type="dxa" w:w="6360"/>
            <w:tcMar>
              <w:top w:w="80" w:type="dxa"/>
              <w:start w:w="120" w:type="dxa"/>
              <w:bottom w:w="80" w:type="dxa"/>
              <w:end w:w="120" w:type="dxa"/>
            </w:tcMar>
            <w:vAlign w:val="center"/>
          </w:tcPr>
          <w:p>
            <w:pPr>
              <w:spacing w:after="0"/>
            </w:pPr>
            <w:r>
              <w:rPr>
                <w:rFonts w:ascii="Calibri" w:hAnsi="Calibri"/>
                <w:color w:val="1F2937"/>
                <w:sz w:val="19"/>
              </w:rPr>
              <w:t>NovaFlowGithubActionsSsmDeploy</w:t>
            </w:r>
          </w:p>
        </w:tc>
      </w:tr>
    </w:tbl>
    <w:p>
      <w:pPr>
        <w:spacing w:after="80"/>
      </w:pPr>
    </w:p>
    <w:p>
      <w:pPr>
        <w:pStyle w:val="Heading1"/>
      </w:pPr>
      <w:r>
        <w:rPr>
          <w:rFonts w:ascii="Calibri" w:hAnsi="Calibri"/>
          <w:b/>
          <w:color w:val="2E74B5"/>
          <w:sz w:val="32"/>
        </w:rPr>
        <w:t>What Costs Money While Idle</w:t>
      </w:r>
    </w:p>
    <w:tbl>
      <w:tblPr>
        <w:tblW w:type="dxa" w:w="9360"/>
        <w:jc w:val="center"/>
        <w:tblLayout w:type="fixed"/>
        <w:tblLook w:firstColumn="1" w:firstRow="1" w:lastColumn="0" w:lastRow="0" w:noHBand="0" w:noVBand="1" w:val="04A0"/>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2500"/>
            <w:shd w:fill="E8EEF5"/>
            <w:tcMar>
              <w:top w:w="80" w:type="dxa"/>
              <w:start w:w="120" w:type="dxa"/>
              <w:bottom w:w="80" w:type="dxa"/>
              <w:end w:w="120" w:type="dxa"/>
            </w:tcMar>
            <w:vAlign w:val="center"/>
          </w:tcPr>
          <w:p>
            <w:pPr>
              <w:spacing w:after="0"/>
            </w:pPr>
            <w:r>
              <w:rPr>
                <w:rFonts w:ascii="Calibri" w:hAnsi="Calibri"/>
                <w:b/>
                <w:color w:val="1F4D78"/>
                <w:sz w:val="20"/>
              </w:rPr>
              <w:t>Resource</w:t>
            </w:r>
          </w:p>
        </w:tc>
        <w:tc>
          <w:tcPr>
            <w:tcW w:type="dxa" w:w="6860"/>
            <w:shd w:fill="E8EEF5"/>
            <w:tcMar>
              <w:top w:w="80" w:type="dxa"/>
              <w:start w:w="120" w:type="dxa"/>
              <w:bottom w:w="80" w:type="dxa"/>
              <w:end w:w="120" w:type="dxa"/>
            </w:tcMar>
            <w:vAlign w:val="center"/>
          </w:tcPr>
          <w:p>
            <w:pPr>
              <w:spacing w:after="0"/>
            </w:pPr>
            <w:r>
              <w:rPr>
                <w:rFonts w:ascii="Calibri" w:hAnsi="Calibri"/>
                <w:b/>
                <w:color w:val="1F4D78"/>
                <w:sz w:val="20"/>
              </w:rPr>
              <w:t>Why it still costs money</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EC2 instance</w:t>
            </w:r>
          </w:p>
        </w:tc>
        <w:tc>
          <w:tcPr>
            <w:tcW w:type="dxa" w:w="6860"/>
            <w:tcMar>
              <w:top w:w="80" w:type="dxa"/>
              <w:start w:w="120" w:type="dxa"/>
              <w:bottom w:w="80" w:type="dxa"/>
              <w:end w:w="120" w:type="dxa"/>
            </w:tcMar>
            <w:vAlign w:val="center"/>
          </w:tcPr>
          <w:p>
            <w:pPr>
              <w:spacing w:after="0"/>
            </w:pPr>
            <w:r>
              <w:rPr>
                <w:rFonts w:ascii="Calibri" w:hAnsi="Calibri"/>
                <w:color w:val="1F2937"/>
                <w:sz w:val="19"/>
              </w:rPr>
              <w:t>Charges while running. EBS storage can still charge while stopped.</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RDS instance</w:t>
            </w:r>
          </w:p>
        </w:tc>
        <w:tc>
          <w:tcPr>
            <w:tcW w:type="dxa" w:w="6860"/>
            <w:tcMar>
              <w:top w:w="80" w:type="dxa"/>
              <w:start w:w="120" w:type="dxa"/>
              <w:bottom w:w="80" w:type="dxa"/>
              <w:end w:w="120" w:type="dxa"/>
            </w:tcMar>
            <w:vAlign w:val="center"/>
          </w:tcPr>
          <w:p>
            <w:pPr>
              <w:spacing w:after="0"/>
            </w:pPr>
            <w:r>
              <w:rPr>
                <w:rFonts w:ascii="Calibri" w:hAnsi="Calibri"/>
                <w:color w:val="1F2937"/>
                <w:sz w:val="19"/>
              </w:rPr>
              <w:t>Charges while running. A stopped RDS instance can auto-start again after the AWS stop window. Snapshots still charge for storage.</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ALB</w:t>
            </w:r>
          </w:p>
        </w:tc>
        <w:tc>
          <w:tcPr>
            <w:tcW w:type="dxa" w:w="6860"/>
            <w:tcMar>
              <w:top w:w="80" w:type="dxa"/>
              <w:start w:w="120" w:type="dxa"/>
              <w:bottom w:w="80" w:type="dxa"/>
              <w:end w:w="120" w:type="dxa"/>
            </w:tcMar>
            <w:vAlign w:val="center"/>
          </w:tcPr>
          <w:p>
            <w:pPr>
              <w:spacing w:after="0"/>
            </w:pPr>
            <w:r>
              <w:rPr>
                <w:rFonts w:ascii="Calibri" w:hAnsi="Calibri"/>
                <w:color w:val="1F2937"/>
                <w:sz w:val="19"/>
              </w:rPr>
              <w:t>Charges hourly while it exists, even with no user traffic.</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Public IPv4 addresses</w:t>
            </w:r>
          </w:p>
        </w:tc>
        <w:tc>
          <w:tcPr>
            <w:tcW w:type="dxa" w:w="6860"/>
            <w:tcMar>
              <w:top w:w="80" w:type="dxa"/>
              <w:start w:w="120" w:type="dxa"/>
              <w:bottom w:w="80" w:type="dxa"/>
              <w:end w:w="120" w:type="dxa"/>
            </w:tcMar>
            <w:vAlign w:val="center"/>
          </w:tcPr>
          <w:p>
            <w:pPr>
              <w:spacing w:after="0"/>
            </w:pPr>
            <w:r>
              <w:rPr>
                <w:rFonts w:ascii="Calibri" w:hAnsi="Calibri"/>
                <w:color w:val="1F2937"/>
                <w:sz w:val="19"/>
              </w:rPr>
              <w:t>Public IPv4 addresses can charge while allocated or attached.</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EBS volumes and snapshots</w:t>
            </w:r>
          </w:p>
        </w:tc>
        <w:tc>
          <w:tcPr>
            <w:tcW w:type="dxa" w:w="6860"/>
            <w:tcMar>
              <w:top w:w="80" w:type="dxa"/>
              <w:start w:w="120" w:type="dxa"/>
              <w:bottom w:w="80" w:type="dxa"/>
              <w:end w:w="120" w:type="dxa"/>
            </w:tcMar>
            <w:vAlign w:val="center"/>
          </w:tcPr>
          <w:p>
            <w:pPr>
              <w:spacing w:after="0"/>
            </w:pPr>
            <w:r>
              <w:rPr>
                <w:rFonts w:ascii="Calibri" w:hAnsi="Calibri"/>
                <w:color w:val="1F2937"/>
                <w:sz w:val="19"/>
              </w:rPr>
              <w:t>Storage charges remain after EC2 stops unless volumes/snapshots are deleted.</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CloudWatch Logs</w:t>
            </w:r>
          </w:p>
        </w:tc>
        <w:tc>
          <w:tcPr>
            <w:tcW w:type="dxa" w:w="6860"/>
            <w:tcMar>
              <w:top w:w="80" w:type="dxa"/>
              <w:start w:w="120" w:type="dxa"/>
              <w:bottom w:w="80" w:type="dxa"/>
              <w:end w:w="120" w:type="dxa"/>
            </w:tcMar>
            <w:vAlign w:val="center"/>
          </w:tcPr>
          <w:p>
            <w:pPr>
              <w:spacing w:after="0"/>
            </w:pPr>
            <w:r>
              <w:rPr>
                <w:rFonts w:ascii="Calibri" w:hAnsi="Calibri"/>
                <w:color w:val="1F2937"/>
                <w:sz w:val="19"/>
              </w:rPr>
              <w:t>Stored logs can keep charging if retained forever.</w:t>
            </w:r>
          </w:p>
        </w:tc>
      </w:tr>
      <w:tr>
        <w:tc>
          <w:tcPr>
            <w:tcW w:type="dxa" w:w="2500"/>
            <w:tcMar>
              <w:top w:w="80" w:type="dxa"/>
              <w:start w:w="120" w:type="dxa"/>
              <w:bottom w:w="80" w:type="dxa"/>
              <w:end w:w="120" w:type="dxa"/>
            </w:tcMar>
            <w:vAlign w:val="center"/>
          </w:tcPr>
          <w:p>
            <w:pPr>
              <w:spacing w:after="0"/>
            </w:pPr>
            <w:r>
              <w:rPr>
                <w:rFonts w:ascii="Calibri" w:hAnsi="Calibri"/>
                <w:color w:val="1F2937"/>
                <w:sz w:val="19"/>
              </w:rPr>
              <w:t>ECR</w:t>
            </w:r>
          </w:p>
        </w:tc>
        <w:tc>
          <w:tcPr>
            <w:tcW w:type="dxa" w:w="6860"/>
            <w:tcMar>
              <w:top w:w="80" w:type="dxa"/>
              <w:start w:w="120" w:type="dxa"/>
              <w:bottom w:w="80" w:type="dxa"/>
              <w:end w:w="120" w:type="dxa"/>
            </w:tcMar>
            <w:vAlign w:val="center"/>
          </w:tcPr>
          <w:p>
            <w:pPr>
              <w:spacing w:after="0"/>
            </w:pPr>
            <w:r>
              <w:rPr>
                <w:rFonts w:ascii="Calibri" w:hAnsi="Calibri"/>
                <w:color w:val="1F2937"/>
                <w:sz w:val="19"/>
              </w:rPr>
              <w:t>Stored images can keep charging if repositories keep old images.</w:t>
            </w:r>
          </w:p>
        </w:tc>
      </w:tr>
    </w:tbl>
    <w:p>
      <w:pPr>
        <w:spacing w:after="80"/>
      </w:pPr>
    </w:p>
    <w:p>
      <w:r>
        <w:rPr>
          <w:rFonts w:ascii="Calibri" w:hAnsi="Calibri"/>
          <w:b w:val="0"/>
          <w:color w:val="1F2937"/>
          <w:sz w:val="22"/>
        </w:rPr>
        <w:t>ACM public certificates are normally free when used with supported AWS services, but they are not useful after the ALB and domain are gone.</w:t>
      </w:r>
    </w:p>
    <w:p>
      <w:pPr>
        <w:pStyle w:val="Heading1"/>
      </w:pPr>
      <w:r>
        <w:rPr>
          <w:rFonts w:ascii="Calibri" w:hAnsi="Calibri"/>
          <w:b/>
          <w:color w:val="2E74B5"/>
          <w:sz w:val="32"/>
        </w:rPr>
        <w:t>Teardown Checklist</w:t>
      </w:r>
    </w:p>
    <w:p>
      <w:pPr>
        <w:pStyle w:val="Heading2"/>
      </w:pPr>
      <w:r>
        <w:rPr>
          <w:rFonts w:ascii="Calibri" w:hAnsi="Calibri"/>
          <w:b/>
          <w:color w:val="2E74B5"/>
          <w:sz w:val="26"/>
        </w:rPr>
        <w:t>1. Save anything worth keeping</w:t>
      </w:r>
    </w:p>
    <w:p>
      <w:pPr>
        <w:pStyle w:val="ListBullet"/>
        <w:spacing w:after="80"/>
        <w:ind w:left="540" w:hanging="271"/>
      </w:pPr>
      <w:r>
        <w:rPr>
          <w:rFonts w:ascii="Calibri" w:hAnsi="Calibri"/>
          <w:color w:val="1F2937"/>
          <w:sz w:val="22"/>
        </w:rPr>
        <w:t>Export or snapshot RDS if the data matters.</w:t>
      </w:r>
    </w:p>
    <w:p>
      <w:pPr>
        <w:pStyle w:val="ListBullet"/>
        <w:spacing w:after="80"/>
        <w:ind w:left="540" w:hanging="271"/>
      </w:pPr>
      <w:r>
        <w:rPr>
          <w:rFonts w:ascii="Calibri" w:hAnsi="Calibri"/>
          <w:color w:val="1F2937"/>
          <w:sz w:val="22"/>
        </w:rPr>
        <w:t>Keep a copy of the final architecture notes and ECS task definition JSON.</w:t>
      </w:r>
    </w:p>
    <w:p>
      <w:pPr>
        <w:pStyle w:val="ListBullet"/>
        <w:spacing w:after="80"/>
        <w:ind w:left="540" w:hanging="271"/>
      </w:pPr>
      <w:r>
        <w:rPr>
          <w:rFonts w:ascii="Calibri" w:hAnsi="Calibri"/>
          <w:color w:val="1F2937"/>
          <w:sz w:val="22"/>
        </w:rPr>
        <w:t>Export important CloudWatch logs if they are needed later.</w:t>
      </w:r>
    </w:p>
    <w:p>
      <w:pPr>
        <w:pStyle w:val="ListBullet"/>
        <w:spacing w:after="80"/>
        <w:ind w:left="540" w:hanging="271"/>
      </w:pPr>
      <w:r>
        <w:rPr>
          <w:rFonts w:ascii="Calibri" w:hAnsi="Calibri"/>
          <w:color w:val="1F2937"/>
          <w:sz w:val="22"/>
        </w:rPr>
        <w:t>Keep Parameter Store names documented, but do not keep secrets if the project is being retired.</w:t>
      </w:r>
    </w:p>
    <w:p>
      <w:pPr>
        <w:pStyle w:val="Heading2"/>
      </w:pPr>
      <w:r>
        <w:rPr>
          <w:rFonts w:ascii="Calibri" w:hAnsi="Calibri"/>
          <w:b/>
          <w:color w:val="2E74B5"/>
          <w:sz w:val="26"/>
        </w:rPr>
        <w:t>2. Stop traffic</w:t>
      </w:r>
    </w:p>
    <w:p>
      <w:pPr>
        <w:pStyle w:val="ListBullet"/>
        <w:spacing w:after="80"/>
        <w:ind w:left="540" w:hanging="271"/>
      </w:pPr>
      <w:r>
        <w:rPr>
          <w:rFonts w:ascii="Calibri" w:hAnsi="Calibri"/>
          <w:color w:val="1F2937"/>
          <w:sz w:val="22"/>
        </w:rPr>
        <w:t>Remove or change the Afrihost CNAME for novaflow.dotze.co.za.</w:t>
      </w:r>
    </w:p>
    <w:p>
      <w:pPr>
        <w:pStyle w:val="ListBullet"/>
        <w:spacing w:after="80"/>
        <w:ind w:left="540" w:hanging="271"/>
      </w:pPr>
      <w:r>
        <w:rPr>
          <w:rFonts w:ascii="Calibri" w:hAnsi="Calibri"/>
          <w:color w:val="1F2937"/>
          <w:sz w:val="22"/>
        </w:rPr>
        <w:t>Optionally change ALB listeners to return a fixed maintenance response first.</w:t>
      </w:r>
    </w:p>
    <w:p>
      <w:pPr>
        <w:pStyle w:val="ListBullet"/>
        <w:spacing w:after="80"/>
        <w:ind w:left="540" w:hanging="271"/>
      </w:pPr>
      <w:r>
        <w:rPr>
          <w:rFonts w:ascii="Calibri" w:hAnsi="Calibri"/>
          <w:color w:val="1F2937"/>
          <w:sz w:val="22"/>
        </w:rPr>
        <w:t>Delete the ALB when ready.</w:t>
      </w:r>
    </w:p>
    <w:p>
      <w:pPr>
        <w:pStyle w:val="Heading2"/>
      </w:pPr>
      <w:r>
        <w:rPr>
          <w:rFonts w:ascii="Calibri" w:hAnsi="Calibri"/>
          <w:b/>
          <w:color w:val="2E74B5"/>
          <w:sz w:val="26"/>
        </w:rPr>
        <w:t>3. Stop ECS workloads</w:t>
      </w:r>
    </w:p>
    <w:p>
      <w:pPr>
        <w:pStyle w:val="ListBullet"/>
        <w:spacing w:after="80"/>
        <w:ind w:left="540" w:hanging="271"/>
      </w:pPr>
      <w:r>
        <w:rPr>
          <w:rFonts w:ascii="Calibri" w:hAnsi="Calibri"/>
          <w:color w:val="1F2937"/>
          <w:sz w:val="22"/>
        </w:rPr>
        <w:t>Set novaflow-novafront desired tasks to 0.</w:t>
      </w:r>
    </w:p>
    <w:p>
      <w:pPr>
        <w:pStyle w:val="ListBullet"/>
        <w:spacing w:after="80"/>
        <w:ind w:left="540" w:hanging="271"/>
      </w:pPr>
      <w:r>
        <w:rPr>
          <w:rFonts w:ascii="Calibri" w:hAnsi="Calibri"/>
          <w:color w:val="1F2937"/>
          <w:sz w:val="22"/>
        </w:rPr>
        <w:t>Set novaflow-backend desired tasks to 0.</w:t>
      </w:r>
    </w:p>
    <w:p>
      <w:pPr>
        <w:pStyle w:val="ListBullet"/>
        <w:spacing w:after="80"/>
        <w:ind w:left="540" w:hanging="271"/>
      </w:pPr>
      <w:r>
        <w:rPr>
          <w:rFonts w:ascii="Calibri" w:hAnsi="Calibri"/>
          <w:color w:val="1F2937"/>
          <w:sz w:val="22"/>
        </w:rPr>
        <w:t>Wait until there are no running tasks.</w:t>
      </w:r>
    </w:p>
    <w:p>
      <w:pPr>
        <w:pStyle w:val="ListBullet"/>
        <w:spacing w:after="80"/>
        <w:ind w:left="540" w:hanging="271"/>
      </w:pPr>
      <w:r>
        <w:rPr>
          <w:rFonts w:ascii="Calibri" w:hAnsi="Calibri"/>
          <w:color w:val="1F2937"/>
          <w:sz w:val="22"/>
        </w:rPr>
        <w:t>Delete ECS services if NovaFlow is not coming back soon.</w:t>
      </w:r>
    </w:p>
    <w:p>
      <w:pPr>
        <w:pStyle w:val="ListBullet"/>
        <w:spacing w:after="80"/>
        <w:ind w:left="540" w:hanging="271"/>
      </w:pPr>
      <w:r>
        <w:rPr>
          <w:rFonts w:ascii="Calibri" w:hAnsi="Calibri"/>
          <w:color w:val="1F2937"/>
          <w:sz w:val="22"/>
        </w:rPr>
        <w:t>Deregister old task definition revisions if you want a cleaner account.</w:t>
      </w:r>
    </w:p>
    <w:p>
      <w:pPr>
        <w:pStyle w:val="Heading2"/>
      </w:pPr>
      <w:r>
        <w:rPr>
          <w:rFonts w:ascii="Calibri" w:hAnsi="Calibri"/>
          <w:b/>
          <w:color w:val="2E74B5"/>
          <w:sz w:val="26"/>
        </w:rPr>
        <w:t>4. Delete the ALB and target groups</w:t>
      </w:r>
    </w:p>
    <w:p>
      <w:pPr>
        <w:pStyle w:val="ListBullet"/>
        <w:spacing w:after="80"/>
        <w:ind w:left="540" w:hanging="271"/>
      </w:pPr>
      <w:r>
        <w:rPr>
          <w:rFonts w:ascii="Calibri" w:hAnsi="Calibri"/>
          <w:color w:val="1F2937"/>
          <w:sz w:val="22"/>
        </w:rPr>
        <w:t>Delete novaflow-alb.</w:t>
      </w:r>
    </w:p>
    <w:p>
      <w:pPr>
        <w:pStyle w:val="ListBullet"/>
        <w:spacing w:after="80"/>
        <w:ind w:left="540" w:hanging="271"/>
      </w:pPr>
      <w:r>
        <w:rPr>
          <w:rFonts w:ascii="Calibri" w:hAnsi="Calibri"/>
          <w:color w:val="1F2937"/>
          <w:sz w:val="22"/>
        </w:rPr>
        <w:t>Delete novaflow-frontend-tg.</w:t>
      </w:r>
    </w:p>
    <w:p>
      <w:pPr>
        <w:pStyle w:val="ListBullet"/>
        <w:spacing w:after="80"/>
        <w:ind w:left="540" w:hanging="271"/>
      </w:pPr>
      <w:r>
        <w:rPr>
          <w:rFonts w:ascii="Calibri" w:hAnsi="Calibri"/>
          <w:color w:val="1F2937"/>
          <w:sz w:val="22"/>
        </w:rPr>
        <w:t>Delete novaflow-api-gateway-tg.</w:t>
      </w:r>
    </w:p>
    <w:p>
      <w:pPr>
        <w:pStyle w:val="Heading2"/>
      </w:pPr>
      <w:r>
        <w:rPr>
          <w:rFonts w:ascii="Calibri" w:hAnsi="Calibri"/>
          <w:b/>
          <w:color w:val="2E74B5"/>
          <w:sz w:val="26"/>
        </w:rPr>
        <w:t>5. Delete or stop RDS</w:t>
      </w:r>
    </w:p>
    <w:p>
      <w:pPr>
        <w:pStyle w:val="ListBullet"/>
        <w:spacing w:after="80"/>
        <w:ind w:left="540" w:hanging="271"/>
      </w:pPr>
      <w:r>
        <w:rPr>
          <w:rFonts w:ascii="Calibri" w:hAnsi="Calibri"/>
          <w:color w:val="1F2937"/>
          <w:sz w:val="22"/>
        </w:rPr>
        <w:t>If keeping data, create a final snapshot, confirm it exists, then delete the RDS instance.</w:t>
      </w:r>
    </w:p>
    <w:p>
      <w:pPr>
        <w:pStyle w:val="ListBullet"/>
        <w:spacing w:after="80"/>
        <w:ind w:left="540" w:hanging="271"/>
      </w:pPr>
      <w:r>
        <w:rPr>
          <w:rFonts w:ascii="Calibri" w:hAnsi="Calibri"/>
          <w:color w:val="1F2937"/>
          <w:sz w:val="22"/>
        </w:rPr>
        <w:t>If not keeping data, delete novaflow-postgres with no final snapshot.</w:t>
      </w:r>
    </w:p>
    <w:p>
      <w:pPr>
        <w:pStyle w:val="ListBullet"/>
        <w:spacing w:after="80"/>
        <w:ind w:left="540" w:hanging="271"/>
      </w:pPr>
      <w:r>
        <w:rPr>
          <w:rFonts w:ascii="Calibri" w:hAnsi="Calibri"/>
          <w:color w:val="1F2937"/>
          <w:sz w:val="22"/>
        </w:rPr>
        <w:t>Do not rely on stopping RDS as a long-term cost saver; it is temporary.</w:t>
      </w:r>
    </w:p>
    <w:p>
      <w:pPr>
        <w:pStyle w:val="Heading2"/>
      </w:pPr>
      <w:r>
        <w:rPr>
          <w:rFonts w:ascii="Calibri" w:hAnsi="Calibri"/>
          <w:b/>
          <w:color w:val="2E74B5"/>
          <w:sz w:val="26"/>
        </w:rPr>
        <w:t>6. Stop or terminate EC2</w:t>
      </w:r>
    </w:p>
    <w:p>
      <w:pPr>
        <w:pStyle w:val="ListBullet"/>
        <w:spacing w:after="80"/>
        <w:ind w:left="540" w:hanging="271"/>
      </w:pPr>
      <w:r>
        <w:rPr>
          <w:rFonts w:ascii="Calibri" w:hAnsi="Calibri"/>
          <w:color w:val="1F2937"/>
          <w:sz w:val="22"/>
        </w:rPr>
        <w:t>If keeping the server, stop the EC2 instance and review attached EBS volumes.</w:t>
      </w:r>
    </w:p>
    <w:p>
      <w:pPr>
        <w:pStyle w:val="ListBullet"/>
        <w:spacing w:after="80"/>
        <w:ind w:left="540" w:hanging="271"/>
      </w:pPr>
      <w:r>
        <w:rPr>
          <w:rFonts w:ascii="Calibri" w:hAnsi="Calibri"/>
          <w:color w:val="1F2937"/>
          <w:sz w:val="22"/>
        </w:rPr>
        <w:t>If tearing down fully, terminate the EC2 instance and confirm whether the root EBS volume deletes on termination.</w:t>
      </w:r>
    </w:p>
    <w:p>
      <w:pPr>
        <w:pStyle w:val="ListBullet"/>
        <w:spacing w:after="80"/>
        <w:ind w:left="540" w:hanging="271"/>
      </w:pPr>
      <w:r>
        <w:rPr>
          <w:rFonts w:ascii="Calibri" w:hAnsi="Calibri"/>
          <w:color w:val="1F2937"/>
          <w:sz w:val="22"/>
        </w:rPr>
        <w:t>Delete remaining unattached EBS volumes and release unused Elastic IPs.</w:t>
      </w:r>
    </w:p>
    <w:p>
      <w:pPr>
        <w:pStyle w:val="Heading2"/>
      </w:pPr>
      <w:r>
        <w:rPr>
          <w:rFonts w:ascii="Calibri" w:hAnsi="Calibri"/>
          <w:b/>
          <w:color w:val="2E74B5"/>
          <w:sz w:val="26"/>
        </w:rPr>
        <w:t>7. Clean ECR</w:t>
      </w:r>
    </w:p>
    <w:p>
      <w:pPr>
        <w:pStyle w:val="ListBullet"/>
        <w:spacing w:after="80"/>
        <w:ind w:left="540" w:hanging="271"/>
      </w:pPr>
      <w:r>
        <w:rPr>
          <w:rFonts w:ascii="Calibri" w:hAnsi="Calibri"/>
          <w:color w:val="1F2937"/>
          <w:sz w:val="22"/>
        </w:rPr>
        <w:t>Delete repositories under novaflow/*, or delete old images and keep only a tiny reference set.</w:t>
      </w:r>
    </w:p>
    <w:p>
      <w:pPr>
        <w:pStyle w:val="Heading2"/>
      </w:pPr>
      <w:r>
        <w:rPr>
          <w:rFonts w:ascii="Calibri" w:hAnsi="Calibri"/>
          <w:b/>
          <w:color w:val="2E74B5"/>
          <w:sz w:val="26"/>
        </w:rPr>
        <w:t>8. Clean CloudWatch</w:t>
      </w:r>
    </w:p>
    <w:p>
      <w:pPr>
        <w:pStyle w:val="ListBullet"/>
        <w:spacing w:after="80"/>
        <w:ind w:left="540" w:hanging="271"/>
      </w:pPr>
      <w:r>
        <w:rPr>
          <w:rFonts w:ascii="Calibri" w:hAnsi="Calibri"/>
          <w:color w:val="1F2937"/>
          <w:sz w:val="22"/>
        </w:rPr>
        <w:t>Delete /novaflow/production, or set a short retention period first.</w:t>
      </w:r>
    </w:p>
    <w:p>
      <w:pPr>
        <w:pStyle w:val="ListBullet"/>
        <w:spacing w:after="80"/>
        <w:ind w:left="540" w:hanging="271"/>
      </w:pPr>
      <w:r>
        <w:rPr>
          <w:rFonts w:ascii="Calibri" w:hAnsi="Calibri"/>
          <w:color w:val="1F2937"/>
          <w:sz w:val="22"/>
        </w:rPr>
        <w:t>Remove alarms created for ECS, ALB, RDS, or EC2 if they are not needed.</w:t>
      </w:r>
    </w:p>
    <w:p>
      <w:pPr>
        <w:pStyle w:val="Heading2"/>
      </w:pPr>
      <w:r>
        <w:rPr>
          <w:rFonts w:ascii="Calibri" w:hAnsi="Calibri"/>
          <w:b/>
          <w:color w:val="2E74B5"/>
          <w:sz w:val="26"/>
        </w:rPr>
        <w:t>9. Clean Parameter Store</w:t>
      </w:r>
    </w:p>
    <w:p>
      <w:pPr>
        <w:pStyle w:val="ListBullet"/>
        <w:spacing w:after="80"/>
        <w:ind w:left="540" w:hanging="271"/>
      </w:pPr>
      <w:r>
        <w:rPr>
          <w:rFonts w:ascii="Calibri" w:hAnsi="Calibri"/>
          <w:color w:val="1F2937"/>
          <w:sz w:val="22"/>
        </w:rPr>
        <w:t>Delete parameters under /novaflow/production/env/.</w:t>
      </w:r>
    </w:p>
    <w:p>
      <w:pPr>
        <w:pStyle w:val="ListBullet"/>
        <w:spacing w:after="80"/>
        <w:ind w:left="540" w:hanging="271"/>
      </w:pPr>
      <w:r>
        <w:rPr>
          <w:rFonts w:ascii="Calibri" w:hAnsi="Calibri"/>
          <w:color w:val="1F2937"/>
          <w:sz w:val="22"/>
        </w:rPr>
        <w:t>Delete older one-off parameters such as /novaflow/production/ghcr/* if they still exist.</w:t>
      </w:r>
    </w:p>
    <w:p>
      <w:pPr>
        <w:pStyle w:val="Heading2"/>
      </w:pPr>
      <w:r>
        <w:rPr>
          <w:rFonts w:ascii="Calibri" w:hAnsi="Calibri"/>
          <w:b/>
          <w:color w:val="2E74B5"/>
          <w:sz w:val="26"/>
        </w:rPr>
        <w:t>10. Clean IAM</w:t>
      </w:r>
    </w:p>
    <w:p>
      <w:pPr>
        <w:pStyle w:val="ListBullet"/>
        <w:spacing w:after="80"/>
        <w:ind w:left="540" w:hanging="271"/>
      </w:pPr>
      <w:r>
        <w:rPr>
          <w:rFonts w:ascii="Calibri" w:hAnsi="Calibri"/>
          <w:color w:val="1F2937"/>
          <w:sz w:val="22"/>
        </w:rPr>
        <w:t>Delete NovaFlowEC2SSMRole, ecsTaskExecutionRole, NovaFlowGithubActionsSsmDeploy, and NovaFlow-only inline policies after dependent services are gone.</w:t>
      </w:r>
    </w:p>
    <w:p>
      <w:pPr>
        <w:pStyle w:val="ListBullet"/>
        <w:spacing w:after="80"/>
        <w:ind w:left="540" w:hanging="271"/>
      </w:pPr>
      <w:r>
        <w:rPr>
          <w:rFonts w:ascii="Calibri" w:hAnsi="Calibri"/>
          <w:color w:val="1F2937"/>
          <w:sz w:val="22"/>
        </w:rPr>
        <w:t>Delete the GitHub OIDC provider if it is only used by NovaFlow.</w:t>
      </w:r>
    </w:p>
    <w:p>
      <w:pPr>
        <w:pStyle w:val="Heading2"/>
      </w:pPr>
      <w:r>
        <w:rPr>
          <w:rFonts w:ascii="Calibri" w:hAnsi="Calibri"/>
          <w:b/>
          <w:color w:val="2E74B5"/>
          <w:sz w:val="26"/>
        </w:rPr>
        <w:t>11. Clean security groups</w:t>
      </w:r>
    </w:p>
    <w:p>
      <w:pPr>
        <w:pStyle w:val="ListBullet"/>
        <w:spacing w:after="80"/>
        <w:ind w:left="540" w:hanging="271"/>
      </w:pPr>
      <w:r>
        <w:rPr>
          <w:rFonts w:ascii="Calibri" w:hAnsi="Calibri"/>
          <w:color w:val="1F2937"/>
          <w:sz w:val="22"/>
        </w:rPr>
        <w:t>After EC2, ALB, RDS, and ECS are deleted, delete novaflow-alb-public, novaflow-ec2-from-alb, and the NovaFlow RDS security group.</w:t>
      </w:r>
    </w:p>
    <w:p>
      <w:pPr>
        <w:pStyle w:val="ListBullet"/>
        <w:spacing w:after="80"/>
        <w:ind w:left="540" w:hanging="271"/>
      </w:pPr>
      <w:r>
        <w:rPr>
          <w:rFonts w:ascii="Calibri" w:hAnsi="Calibri"/>
          <w:color w:val="1F2937"/>
          <w:sz w:val="22"/>
        </w:rPr>
        <w:t>Leave the default security group alone unless you know nothing else uses it.</w:t>
      </w:r>
    </w:p>
    <w:p>
      <w:pPr>
        <w:pStyle w:val="Heading2"/>
      </w:pPr>
      <w:r>
        <w:rPr>
          <w:rFonts w:ascii="Calibri" w:hAnsi="Calibri"/>
          <w:b/>
          <w:color w:val="2E74B5"/>
          <w:sz w:val="26"/>
        </w:rPr>
        <w:t>12. Verify billing is quiet</w:t>
      </w:r>
    </w:p>
    <w:p>
      <w:pPr>
        <w:pStyle w:val="ListBullet"/>
        <w:spacing w:after="80"/>
        <w:ind w:left="540" w:hanging="271"/>
      </w:pPr>
      <w:r>
        <w:rPr>
          <w:rFonts w:ascii="Calibri" w:hAnsi="Calibri"/>
          <w:color w:val="1F2937"/>
          <w:sz w:val="22"/>
        </w:rPr>
        <w:t>Check Billing and Cost Management, Cost Explorer, EC2 instances, EC2 volumes, Elastic IPs, load balancers, target groups, RDS databases, RDS snapshots, ECR repositories, CloudWatch log groups, and NAT Gateways.</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FFF7E6"/>
            <w:tcMar>
              <w:top w:w="120" w:type="dxa"/>
              <w:start w:w="160" w:type="dxa"/>
              <w:bottom w:w="120" w:type="dxa"/>
              <w:end w:w="160" w:type="dxa"/>
            </w:tcMar>
          </w:tcPr>
          <w:p>
            <w:pPr>
              <w:spacing w:after="0"/>
            </w:pPr>
            <w:r>
              <w:rPr>
                <w:rFonts w:ascii="Calibri" w:hAnsi="Calibri"/>
                <w:b/>
                <w:color w:val="1F4D78"/>
                <w:sz w:val="21"/>
              </w:rPr>
              <w:t xml:space="preserve">NAT Gateway warning: </w:t>
            </w:r>
            <w:r>
              <w:rPr>
                <w:rFonts w:ascii="Calibri" w:hAnsi="Calibri"/>
                <w:color w:val="1F2937"/>
                <w:sz w:val="21"/>
              </w:rPr>
              <w:t>NAT Gateways are especially important in AWS accounts generally because they can burn money while forgotten. NovaFlow did not need one during this migration.</w:t>
            </w:r>
          </w:p>
        </w:tc>
      </w:tr>
    </w:tbl>
    <w:p>
      <w:pPr>
        <w:spacing w:after="40"/>
      </w:pPr>
    </w:p>
    <w:p>
      <w:pPr>
        <w:pStyle w:val="Heading1"/>
      </w:pPr>
      <w:r>
        <w:rPr>
          <w:rFonts w:ascii="Calibri" w:hAnsi="Calibri"/>
          <w:b/>
          <w:color w:val="2E74B5"/>
          <w:sz w:val="32"/>
        </w:rPr>
        <w:t>Safe Dormant Mode</w:t>
      </w:r>
    </w:p>
    <w:p>
      <w:pPr>
        <w:pStyle w:val="ListNumber"/>
        <w:spacing w:after="80"/>
        <w:ind w:left="540" w:hanging="271"/>
      </w:pPr>
      <w:r>
        <w:rPr>
          <w:rFonts w:ascii="Calibri" w:hAnsi="Calibri"/>
          <w:color w:val="1F2937"/>
          <w:sz w:val="22"/>
        </w:rPr>
        <w:t>Set ECS services desired tasks to 0.</w:t>
      </w:r>
    </w:p>
    <w:p>
      <w:pPr>
        <w:pStyle w:val="ListNumber"/>
        <w:spacing w:after="80"/>
        <w:ind w:left="540" w:hanging="271"/>
      </w:pPr>
      <w:r>
        <w:rPr>
          <w:rFonts w:ascii="Calibri" w:hAnsi="Calibri"/>
          <w:color w:val="1F2937"/>
          <w:sz w:val="22"/>
        </w:rPr>
        <w:t>Delete the ALB.</w:t>
      </w:r>
    </w:p>
    <w:p>
      <w:pPr>
        <w:pStyle w:val="ListNumber"/>
        <w:spacing w:after="80"/>
        <w:ind w:left="540" w:hanging="271"/>
      </w:pPr>
      <w:r>
        <w:rPr>
          <w:rFonts w:ascii="Calibri" w:hAnsi="Calibri"/>
          <w:color w:val="1F2937"/>
          <w:sz w:val="22"/>
        </w:rPr>
        <w:t>Stop EC2.</w:t>
      </w:r>
    </w:p>
    <w:p>
      <w:pPr>
        <w:pStyle w:val="ListNumber"/>
        <w:spacing w:after="80"/>
        <w:ind w:left="540" w:hanging="271"/>
      </w:pPr>
      <w:r>
        <w:rPr>
          <w:rFonts w:ascii="Calibri" w:hAnsi="Calibri"/>
          <w:color w:val="1F2937"/>
          <w:sz w:val="22"/>
        </w:rPr>
        <w:t>Snapshot and delete RDS, or accept the RDS cost if you keep it running.</w:t>
      </w:r>
    </w:p>
    <w:p>
      <w:pPr>
        <w:pStyle w:val="ListNumber"/>
        <w:spacing w:after="80"/>
        <w:ind w:left="540" w:hanging="271"/>
      </w:pPr>
      <w:r>
        <w:rPr>
          <w:rFonts w:ascii="Calibri" w:hAnsi="Calibri"/>
          <w:color w:val="1F2937"/>
          <w:sz w:val="22"/>
        </w:rPr>
        <w:t>Set CloudWatch log retention to a short period.</w:t>
      </w:r>
    </w:p>
    <w:p>
      <w:pPr>
        <w:pStyle w:val="ListNumber"/>
        <w:spacing w:after="80"/>
        <w:ind w:left="540" w:hanging="271"/>
      </w:pPr>
      <w:r>
        <w:rPr>
          <w:rFonts w:ascii="Calibri" w:hAnsi="Calibri"/>
          <w:color w:val="1F2937"/>
          <w:sz w:val="22"/>
        </w:rPr>
        <w:t>Keep ECR images only if you want fast restoration.</w:t>
      </w:r>
    </w:p>
    <w:p>
      <w:r>
        <w:rPr>
          <w:rFonts w:ascii="Calibri" w:hAnsi="Calibri"/>
          <w:b w:val="0"/>
          <w:color w:val="1F2937"/>
          <w:sz w:val="22"/>
        </w:rPr>
        <w:t>This preserves most of the learning path, but it is not free. The main recurring costs become whatever storage, snapshots, public IPv4 resources, ECR images, and RDS choices remain.</w:t>
      </w:r>
    </w:p>
    <w:p>
      <w:pPr>
        <w:pStyle w:val="Heading1"/>
      </w:pPr>
      <w:r>
        <w:rPr>
          <w:rFonts w:ascii="Calibri" w:hAnsi="Calibri"/>
          <w:b/>
          <w:color w:val="2E74B5"/>
          <w:sz w:val="32"/>
        </w:rPr>
        <w:t>What To Rebuild Next Time</w:t>
      </w:r>
    </w:p>
    <w:p>
      <w:pPr>
        <w:pStyle w:val="ListBullet"/>
        <w:spacing w:after="80"/>
        <w:ind w:left="540" w:hanging="271"/>
      </w:pPr>
      <w:r>
        <w:rPr>
          <w:rFonts w:ascii="Calibri" w:hAnsi="Calibri"/>
          <w:color w:val="1F2937"/>
          <w:sz w:val="22"/>
        </w:rPr>
        <w:t>Infrastructure as Code first, probably Terraform or AWS CDK.</w:t>
      </w:r>
    </w:p>
    <w:p>
      <w:pPr>
        <w:pStyle w:val="ListBullet"/>
        <w:spacing w:after="80"/>
        <w:ind w:left="540" w:hanging="271"/>
      </w:pPr>
      <w:r>
        <w:rPr>
          <w:rFonts w:ascii="Calibri" w:hAnsi="Calibri"/>
          <w:color w:val="1F2937"/>
          <w:sz w:val="22"/>
        </w:rPr>
        <w:t>ECS deployments directly from GitHub Actions, with no source checkout needed on EC2.</w:t>
      </w:r>
    </w:p>
    <w:p>
      <w:pPr>
        <w:pStyle w:val="ListBullet"/>
        <w:spacing w:after="80"/>
        <w:ind w:left="540" w:hanging="271"/>
      </w:pPr>
      <w:r>
        <w:rPr>
          <w:rFonts w:ascii="Calibri" w:hAnsi="Calibri"/>
          <w:color w:val="1F2937"/>
          <w:sz w:val="22"/>
        </w:rPr>
        <w:t>One task definition template per ECS service, rendered with the new ECR image tag during CI.</w:t>
      </w:r>
    </w:p>
    <w:p>
      <w:pPr>
        <w:pStyle w:val="ListBullet"/>
        <w:spacing w:after="80"/>
        <w:ind w:left="540" w:hanging="271"/>
      </w:pPr>
      <w:r>
        <w:rPr>
          <w:rFonts w:ascii="Calibri" w:hAnsi="Calibri"/>
          <w:color w:val="1F2937"/>
          <w:sz w:val="22"/>
        </w:rPr>
        <w:t>RDS kept outside EC2 from the start.</w:t>
      </w:r>
    </w:p>
    <w:p>
      <w:pPr>
        <w:pStyle w:val="ListBullet"/>
        <w:spacing w:after="80"/>
        <w:ind w:left="540" w:hanging="271"/>
      </w:pPr>
      <w:r>
        <w:rPr>
          <w:rFonts w:ascii="Calibri" w:hAnsi="Calibri"/>
          <w:color w:val="1F2937"/>
          <w:sz w:val="22"/>
        </w:rPr>
        <w:t>Parameter Store or Secrets Manager used from day one.</w:t>
      </w:r>
    </w:p>
    <w:p>
      <w:pPr>
        <w:pStyle w:val="ListBullet"/>
        <w:spacing w:after="80"/>
        <w:ind w:left="540" w:hanging="271"/>
      </w:pPr>
      <w:r>
        <w:rPr>
          <w:rFonts w:ascii="Calibri" w:hAnsi="Calibri"/>
          <w:color w:val="1F2937"/>
          <w:sz w:val="22"/>
        </w:rPr>
        <w:t>CloudWatch log retention set immediately.</w:t>
      </w:r>
    </w:p>
    <w:p>
      <w:pPr>
        <w:pStyle w:val="ListBullet"/>
        <w:spacing w:after="80"/>
        <w:ind w:left="540" w:hanging="271"/>
      </w:pPr>
      <w:r>
        <w:rPr>
          <w:rFonts w:ascii="Calibri" w:hAnsi="Calibri"/>
          <w:color w:val="1F2937"/>
          <w:sz w:val="22"/>
        </w:rPr>
        <w:t>AWS Budgets alarm created before any paid resources are launched.</w:t>
      </w:r>
    </w:p>
    <w:p>
      <w:pPr>
        <w:pStyle w:val="Heading1"/>
      </w:pPr>
      <w:r>
        <w:rPr>
          <w:rFonts w:ascii="Calibri" w:hAnsi="Calibri"/>
          <w:b/>
          <w:color w:val="2E74B5"/>
          <w:sz w:val="32"/>
        </w:rPr>
        <w:t>Lessons Learned</w:t>
      </w:r>
    </w:p>
    <w:p>
      <w:pPr>
        <w:pStyle w:val="ListBullet"/>
        <w:spacing w:after="80"/>
        <w:ind w:left="540" w:hanging="271"/>
      </w:pPr>
      <w:r>
        <w:rPr>
          <w:rFonts w:ascii="Calibri" w:hAnsi="Calibri"/>
          <w:color w:val="1F2937"/>
          <w:sz w:val="22"/>
        </w:rPr>
        <w:t>AWS services are not magic replacements. Each one takes over one job from the old server.</w:t>
      </w:r>
    </w:p>
    <w:p>
      <w:pPr>
        <w:pStyle w:val="ListBullet"/>
        <w:spacing w:after="80"/>
        <w:ind w:left="540" w:hanging="271"/>
      </w:pPr>
      <w:r>
        <w:rPr>
          <w:rFonts w:ascii="Calibri" w:hAnsi="Calibri"/>
          <w:color w:val="1F2937"/>
          <w:sz w:val="22"/>
        </w:rPr>
        <w:t>ALB took over public routing and TLS from nginx and certbot.</w:t>
      </w:r>
    </w:p>
    <w:p>
      <w:pPr>
        <w:pStyle w:val="ListBullet"/>
        <w:spacing w:after="80"/>
        <w:ind w:left="540" w:hanging="271"/>
      </w:pPr>
      <w:r>
        <w:rPr>
          <w:rFonts w:ascii="Calibri" w:hAnsi="Calibri"/>
          <w:color w:val="1F2937"/>
          <w:sz w:val="22"/>
        </w:rPr>
        <w:t>SSM took over remote server access from SSH.</w:t>
      </w:r>
    </w:p>
    <w:p>
      <w:pPr>
        <w:pStyle w:val="ListBullet"/>
        <w:spacing w:after="80"/>
        <w:ind w:left="540" w:hanging="271"/>
      </w:pPr>
      <w:r>
        <w:rPr>
          <w:rFonts w:ascii="Calibri" w:hAnsi="Calibri"/>
          <w:color w:val="1F2937"/>
          <w:sz w:val="22"/>
        </w:rPr>
        <w:t>Parameter Store took over .env files for production secrets.</w:t>
      </w:r>
    </w:p>
    <w:p>
      <w:pPr>
        <w:pStyle w:val="ListBullet"/>
        <w:spacing w:after="80"/>
        <w:ind w:left="540" w:hanging="271"/>
      </w:pPr>
      <w:r>
        <w:rPr>
          <w:rFonts w:ascii="Calibri" w:hAnsi="Calibri"/>
          <w:color w:val="1F2937"/>
          <w:sz w:val="22"/>
        </w:rPr>
        <w:t>ECR took over image storage from GitHub Container Registry.</w:t>
      </w:r>
    </w:p>
    <w:p>
      <w:pPr>
        <w:pStyle w:val="ListBullet"/>
        <w:spacing w:after="80"/>
        <w:ind w:left="540" w:hanging="271"/>
      </w:pPr>
      <w:r>
        <w:rPr>
          <w:rFonts w:ascii="Calibri" w:hAnsi="Calibri"/>
          <w:color w:val="1F2937"/>
          <w:sz w:val="22"/>
        </w:rPr>
        <w:t>RDS took over PostgreSQL from the EC2 Docker host.</w:t>
      </w:r>
    </w:p>
    <w:p>
      <w:pPr>
        <w:pStyle w:val="ListBullet"/>
        <w:spacing w:after="80"/>
        <w:ind w:left="540" w:hanging="271"/>
      </w:pPr>
      <w:r>
        <w:rPr>
          <w:rFonts w:ascii="Calibri" w:hAnsi="Calibri"/>
          <w:color w:val="1F2937"/>
          <w:sz w:val="22"/>
        </w:rPr>
        <w:t>ECS took over container scheduling from Docker Compose.</w:t>
      </w:r>
    </w:p>
    <w:p>
      <w:pPr>
        <w:pStyle w:val="ListBullet"/>
        <w:spacing w:after="80"/>
        <w:ind w:left="540" w:hanging="271"/>
      </w:pPr>
      <w:r>
        <w:rPr>
          <w:rFonts w:ascii="Calibri" w:hAnsi="Calibri"/>
          <w:color w:val="1F2937"/>
          <w:sz w:val="22"/>
        </w:rPr>
        <w:t>CloudWatch took over day-to-day log viewing from docker logs.</w:t>
      </w:r>
    </w:p>
    <w:p>
      <w:pPr>
        <w:pStyle w:val="ListBullet"/>
        <w:spacing w:after="80"/>
        <w:ind w:left="540" w:hanging="271"/>
      </w:pPr>
      <w:r>
        <w:rPr>
          <w:rFonts w:ascii="Calibri" w:hAnsi="Calibri"/>
          <w:color w:val="1F2937"/>
          <w:sz w:val="22"/>
        </w:rPr>
        <w:t>EC2 still mattered until Fargate or more ECS capacity replaced it.</w:t>
      </w:r>
    </w:p>
    <w:tbl>
      <w:tblPr>
        <w:tblW w:type="dxa" w:w="9360"/>
        <w:jc w:val="center"/>
        <w:tblLayout w:type="fixed"/>
        <w:tblLook w:firstColumn="1" w:firstRow="1" w:lastColumn="0" w:lastRow="0" w:noHBand="0" w:noVBand="1" w:val="04A0"/>
        <w:tblInd w:type="dxa" w:w="120"/>
        <w:tblBorders>
          <w:top w:val="single" w:sz="8" w:space="0" w:color="B7CADF"/>
          <w:left w:val="single" w:sz="8" w:space="0" w:color="B7CADF"/>
          <w:bottom w:val="single" w:sz="8" w:space="0" w:color="B7CADF"/>
          <w:right w:val="single" w:sz="8" w:space="0" w:color="B7CADF"/>
          <w:insideH w:val="single" w:sz="8" w:space="0" w:color="B7CADF"/>
          <w:insideV w:val="single" w:sz="8" w:space="0" w:color="B7CADF"/>
        </w:tblBorders>
      </w:tblPr>
      <w:tblGrid>
        <w:gridCol w:w="9360"/>
      </w:tblGrid>
      <w:tr>
        <w:tc>
          <w:tcPr>
            <w:tcW w:type="dxa" w:w="9360"/>
            <w:shd w:fill="EEF6FF"/>
            <w:tcMar>
              <w:top w:w="120" w:type="dxa"/>
              <w:start w:w="160" w:type="dxa"/>
              <w:bottom w:w="120" w:type="dxa"/>
              <w:end w:w="160" w:type="dxa"/>
            </w:tcMar>
          </w:tcPr>
          <w:p>
            <w:pPr>
              <w:spacing w:after="0"/>
            </w:pPr>
            <w:r>
              <w:rPr>
                <w:rFonts w:ascii="Calibri" w:hAnsi="Calibri"/>
                <w:b/>
                <w:color w:val="1F4D78"/>
                <w:sz w:val="21"/>
              </w:rPr>
              <w:t xml:space="preserve">Bottom line: </w:t>
            </w:r>
            <w:r>
              <w:rPr>
                <w:rFonts w:ascii="Calibri" w:hAnsi="Calibri"/>
                <w:color w:val="1F2937"/>
                <w:sz w:val="21"/>
              </w:rPr>
              <w:t>The big win was learning the shape of a real AWS deployment. The big warning is that real AWS deployments have real monthly floors, even when nobody uses the app.</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NovaFlow AWS Recap And Teardown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