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Alinta QLD Sign Up Form – To Do list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Day before – room setup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Windows laptop needs: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Morae – check recording and audio playback levels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Browser links to current website and prototype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Test iPhone needs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Power check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Browser links added to current site &amp; Axure prototype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Power board/extension cords needed?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Print consent forms, pre &amp; post questionnaires &amp; Farron sign-in sheet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Slack msg to team to expect participants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Gather: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Clipboards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Sharpies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Pens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Highlighters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Morning of testing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Put up posters (directions &amp; noise) &amp; Blu-tac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Recheck recording and audio playback levels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Drinking water – glasses and water bottle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Waiting area for next participant – consent form &amp; pre-questionnaire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Upon arrival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Toilets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Show to waiting area &amp; give consent form &amp; pre-questionnaire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Between sessions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Save previous session recording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Clear used glasses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Top-up water bottle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Clear cache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Setup clipboard with next sessions consent form &amp; pre-questionnaire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End of day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Copy recordings to shared: drive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Remove posters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Pack up test equipment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