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Президент Российской Федерации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В.ПУТИН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14.01.2014 N Пр-51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I. Общие положения   </w:t>
      </w:r>
      <w:r>
        <w:rPr>
          <w:rFonts w:cs="Times New Roman" w:ascii="Times New Roman" w:hAnsi="Times New Roman"/>
          <w:sz w:val="24"/>
          <w:szCs w:val="24"/>
        </w:rPr>
        <w:t>Тестовое включение в общие положения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2. Настоящие Основы разработаны исходя из норм </w:t>
      </w:r>
      <w:hyperlink r:id="rId2" w:tgtFrame="Закон РФ от 20.08.1993 N 5663-1 (ред. от 15.04.2019) О космической деятельности&quot;{КонсультантПлюс}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</w:rPr>
          <w:t>Закона</w:t>
        </w:r>
      </w:hyperlink>
      <w:r>
        <w:rPr>
          <w:rFonts w:ascii="Times New Roman" w:hAnsi="Times New Roman"/>
          <w:b w:val="false"/>
          <w:i w:val="false"/>
          <w:sz w:val="24"/>
          <w:szCs w:val="24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3" w:tgtFrame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</w:rPr>
          <w:t>положения</w:t>
        </w:r>
      </w:hyperlink>
      <w:r>
        <w:rPr>
          <w:rFonts w:ascii="Times New Roman" w:hAnsi="Times New Roman"/>
          <w:b w:val="false"/>
          <w:i w:val="false"/>
          <w:sz w:val="24"/>
          <w:szCs w:val="24"/>
        </w:rPr>
        <w:t xml:space="preserve"> Основ политики Российской Федерации в области космической деятельности на период до 2030 года и дальнейшую перспективу в части, касающейся использования результатов космической деятельности.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  Тестовое включение в пункт3.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II. Основные понятия, используемые в настоящих Основах, и их определения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</w:rPr>
        <w:t>Тестовое включение в раздел 2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6. В настоящих Основах используются следующие основные понятия: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пользователи результатами космической деятельности - юридические или физические лица, заказывающие и получающие космические продукты и услуги;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 тестовое включение в оператор космических услуг чтобы показать различия;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</w:rPr>
        <w:t>Тестовое включение под центром компетенции</w:t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III. Государственные интересы Российской Федерации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конкурентоспособное развитие Российской Федерации и ее субъектов;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развитие высокотехнологичных и наукоемких секторов экономики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bookmarkStart w:id="0" w:name="__DdeLink__144_476454383"/>
      <w:r>
        <w:rPr>
          <w:rFonts w:ascii="Times New Roman" w:hAnsi="Times New Roman"/>
          <w:b w:val="false"/>
          <w:sz w:val="24"/>
          <w:szCs w:val="24"/>
        </w:rPr>
        <w:t>IV. Принципы государственной политики в области использования результатов космической деятельности</w:t>
      </w:r>
      <w:bookmarkEnd w:id="0"/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V. Цель и приоритеты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развития Российской Федерации, ее субъектов, повышения качества жизни и безопасности населения страны. Тестовое включение в цели государственной политики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11. Приоритетами государственной</w:t>
      </w:r>
      <w:bookmarkStart w:id="1" w:name="_GoBack"/>
      <w:bookmarkEnd w:id="1"/>
      <w:r>
        <w:rPr>
          <w:rFonts w:ascii="Times New Roman" w:hAnsi="Times New Roman"/>
          <w:b w:val="false"/>
          <w:i w:val="false"/>
          <w:sz w:val="24"/>
          <w:szCs w:val="24"/>
        </w:rPr>
        <w:t xml:space="preserve"> политики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расширение экспорта российских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VI. Задачи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нормативно-правового обеспечения</w:t>
      </w:r>
      <w:r>
        <w:rPr>
          <w:rFonts w:ascii="Times New Roman" w:hAnsi="Times New Roman"/>
          <w:b w:val="false"/>
          <w:i w:val="false"/>
          <w:sz w:val="24"/>
          <w:szCs w:val="24"/>
        </w:rPr>
        <w:t>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>
      <w:pPr>
        <w:pStyle w:val="3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4" w:tgtFrame="Закон РФ от 21.07.1993 N 5485-1 (ред. от 29.07.2018) О государственной тайне&quot;{КонсультантПлюс}">
        <w:r>
          <w:rPr>
            <w:rStyle w:val="ListLabel2"/>
            <w:rFonts w:ascii="Times New Roman" w:hAnsi="Times New Roman"/>
            <w:b w:val="false"/>
            <w:sz w:val="24"/>
            <w:szCs w:val="24"/>
          </w:rPr>
          <w:t>законодательства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международного сот</w:t>
      </w:r>
      <w:r>
        <w:rPr>
          <w:rFonts w:ascii="Times New Roman" w:hAnsi="Times New Roman"/>
          <w:b w:val="false"/>
          <w:i w:val="false"/>
          <w:sz w:val="24"/>
          <w:szCs w:val="24"/>
        </w:rPr>
        <w:t>рудничества,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VII. Результаты реализации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16. 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5" w:tgtFrame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</w:rPr>
          <w:t>план</w:t>
        </w:r>
      </w:hyperlink>
      <w:r>
        <w:rPr>
          <w:rFonts w:ascii="Times New Roman" w:hAnsi="Times New Roman"/>
          <w:b w:val="false"/>
          <w:i w:val="false"/>
          <w:sz w:val="24"/>
          <w:szCs w:val="24"/>
        </w:rPr>
        <w:t xml:space="preserve"> мероприятий по реализации настоящих Основ, выполнение которого позволит: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в период до 2020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в период до 2025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в период до 2030 года:</w:t>
      </w:r>
    </w:p>
    <w:p>
      <w:pPr>
        <w:pStyle w:val="4"/>
        <w:rPr/>
      </w:pPr>
      <w:r>
        <w:rPr>
          <w:rFonts w:ascii="Times New Roman" w:hAnsi="Times New Roman"/>
          <w:b w:val="false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>
      <w:pPr>
        <w:pStyle w:val="4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Тестовое включение </w:t>
      </w:r>
      <w:r>
        <w:rPr>
          <w:rFonts w:ascii="Times New Roman" w:hAnsi="Times New Roman"/>
          <w:b w:val="false"/>
          <w:sz w:val="24"/>
          <w:szCs w:val="24"/>
        </w:rPr>
        <w:t>Сутулая собака полетит в космос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>
      <w:pPr>
        <w:pStyle w:val="1"/>
        <w:spacing w:before="240" w:after="60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sz w:val="24"/>
          <w:szCs w:val="24"/>
        </w:rPr>
        <w:t>Тестовый новый раздел в конце второго документа</w:t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1"/>
        <w:spacing w:before="240" w:after="60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lang w:val="ru-RU" w:eastAsia="ru-RU" w:bidi="ar-SA"/>
        </w:rPr>
        <w:t>Тестовое включение в конце второго документа</w:t>
      </w:r>
    </w:p>
    <w:p>
      <w:pPr>
        <w:pStyle w:val="1"/>
        <w:spacing w:before="240" w:after="60"/>
        <w:rPr/>
      </w:pPr>
      <w:r>
        <w:rPr/>
      </w:r>
    </w:p>
    <w:sectPr>
      <w:footerReference w:type="default" r:id="rId6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settings.xml><?xml version="1.0" encoding="utf-8"?>
<w:settings xmlns:w="http://schemas.openxmlformats.org/wordprocessingml/2006/main">
  <w:zoom w:percent="8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9a778f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286a41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286a41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Normal"/>
    <w:link w:val="40"/>
    <w:uiPriority w:val="9"/>
    <w:unhideWhenUsed/>
    <w:qFormat/>
    <w:rsid w:val="00286a41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2821f9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2821f9"/>
    <w:rPr/>
  </w:style>
  <w:style w:type="character" w:styleId="Style12" w:customStyle="1">
    <w:name w:val="Текст выноски Знак"/>
    <w:link w:val="a7"/>
    <w:uiPriority w:val="99"/>
    <w:semiHidden/>
    <w:qFormat/>
    <w:rsid w:val="009a778f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link w:val="1"/>
    <w:uiPriority w:val="9"/>
    <w:qFormat/>
    <w:rsid w:val="009a778f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286a41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286a41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link w:val="4"/>
    <w:uiPriority w:val="9"/>
    <w:qFormat/>
    <w:rsid w:val="00286a41"/>
    <w:rPr>
      <w:rFonts w:ascii="Calibri" w:hAnsi="Calibri" w:eastAsia="Times New Roman" w:cs="Times New Roman"/>
      <w:b/>
      <w:bCs/>
      <w:sz w:val="28"/>
      <w:szCs w:val="28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b w:val="false"/>
      <w:sz w:val="24"/>
      <w:szCs w:val="24"/>
    </w:rPr>
  </w:style>
  <w:style w:type="character" w:styleId="ListLabel3">
    <w:name w:val="ListLabel 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6">
    <w:name w:val="ListLabel 6"/>
    <w:qFormat/>
    <w:rPr>
      <w:rFonts w:ascii="Times New Roman" w:hAnsi="Times New Roman"/>
      <w:b w:val="false"/>
      <w:sz w:val="24"/>
      <w:szCs w:val="24"/>
    </w:rPr>
  </w:style>
  <w:style w:type="character" w:styleId="ListLabel7">
    <w:name w:val="ListLabel 7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8">
    <w:name w:val="ListLabel 8"/>
    <w:qFormat/>
    <w:rPr>
      <w:rFonts w:ascii="Times New Roman" w:hAnsi="Times New Roman"/>
      <w:b w:val="false"/>
      <w:sz w:val="24"/>
      <w:szCs w:val="24"/>
    </w:rPr>
  </w:style>
  <w:style w:type="character" w:styleId="ListLabel9">
    <w:name w:val="ListLabel 9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0">
    <w:name w:val="ListLabel 10"/>
    <w:qFormat/>
    <w:rPr>
      <w:rFonts w:ascii="Times New Roman" w:hAnsi="Times New Roman"/>
      <w:b w:val="false"/>
      <w:sz w:val="24"/>
      <w:szCs w:val="24"/>
    </w:rPr>
  </w:style>
  <w:style w:type="character" w:styleId="ListLabel11">
    <w:name w:val="ListLabel 1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2">
    <w:name w:val="ListLabel 12"/>
    <w:qFormat/>
    <w:rPr>
      <w:rFonts w:ascii="Times New Roman" w:hAnsi="Times New Roman"/>
      <w:b w:val="false"/>
      <w:sz w:val="24"/>
      <w:szCs w:val="24"/>
    </w:rPr>
  </w:style>
  <w:style w:type="character" w:styleId="ListLabel13">
    <w:name w:val="ListLabel 1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4">
    <w:name w:val="ListLabel 14"/>
    <w:qFormat/>
    <w:rPr>
      <w:rFonts w:ascii="Times New Roman" w:hAnsi="Times New Roman"/>
      <w:b w:val="false"/>
      <w:sz w:val="24"/>
      <w:szCs w:val="24"/>
    </w:rPr>
  </w:style>
  <w:style w:type="character" w:styleId="ListLabel15">
    <w:name w:val="ListLabel 1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6">
    <w:name w:val="ListLabel 16"/>
    <w:qFormat/>
    <w:rPr>
      <w:rFonts w:ascii="Times New Roman" w:hAnsi="Times New Roman"/>
      <w:b w:val="false"/>
      <w:sz w:val="24"/>
      <w:szCs w:val="24"/>
    </w:rPr>
  </w:style>
  <w:style w:type="character" w:styleId="ListLabel17">
    <w:name w:val="ListLabel 17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8">
    <w:name w:val="ListLabel 18"/>
    <w:qFormat/>
    <w:rPr>
      <w:rFonts w:ascii="Times New Roman" w:hAnsi="Times New Roman"/>
      <w:b w:val="false"/>
      <w:sz w:val="24"/>
      <w:szCs w:val="24"/>
    </w:rPr>
  </w:style>
  <w:style w:type="character" w:styleId="ListLabel19">
    <w:name w:val="ListLabel 19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0">
    <w:name w:val="ListLabel 20"/>
    <w:qFormat/>
    <w:rPr>
      <w:rFonts w:ascii="Times New Roman" w:hAnsi="Times New Roman"/>
      <w:b w:val="false"/>
      <w:sz w:val="24"/>
      <w:szCs w:val="24"/>
    </w:rPr>
  </w:style>
  <w:style w:type="character" w:styleId="ListLabel21">
    <w:name w:val="ListLabel 2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2">
    <w:name w:val="ListLabel 22"/>
    <w:qFormat/>
    <w:rPr>
      <w:rFonts w:ascii="Times New Roman" w:hAnsi="Times New Roman"/>
      <w:b w:val="false"/>
      <w:sz w:val="24"/>
      <w:szCs w:val="24"/>
    </w:rPr>
  </w:style>
  <w:style w:type="character" w:styleId="ListLabel23">
    <w:name w:val="ListLabel 2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4">
    <w:name w:val="ListLabel 24"/>
    <w:qFormat/>
    <w:rPr>
      <w:rFonts w:ascii="Times New Roman" w:hAnsi="Times New Roman"/>
      <w:b w:val="false"/>
      <w:sz w:val="24"/>
      <w:szCs w:val="24"/>
    </w:rPr>
  </w:style>
  <w:style w:type="character" w:styleId="ListLabel25">
    <w:name w:val="ListLabel 2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6">
    <w:name w:val="ListLabel 26"/>
    <w:qFormat/>
    <w:rPr>
      <w:rFonts w:ascii="Times New Roman" w:hAnsi="Times New Roman"/>
      <w:b w:val="false"/>
      <w:sz w:val="24"/>
      <w:szCs w:val="24"/>
    </w:rPr>
  </w:style>
  <w:style w:type="character" w:styleId="ListLabel27">
    <w:name w:val="ListLabel 27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28">
    <w:name w:val="ListLabel 28"/>
    <w:qFormat/>
    <w:rPr>
      <w:rFonts w:ascii="Times New Roman" w:hAnsi="Times New Roman"/>
      <w:b w:val="false"/>
      <w:sz w:val="24"/>
      <w:szCs w:val="24"/>
    </w:rPr>
  </w:style>
  <w:style w:type="character" w:styleId="ListLabel29">
    <w:name w:val="ListLabel 29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0">
    <w:name w:val="ListLabel 30"/>
    <w:qFormat/>
    <w:rPr>
      <w:rFonts w:ascii="Times New Roman" w:hAnsi="Times New Roman"/>
      <w:b w:val="false"/>
      <w:sz w:val="24"/>
      <w:szCs w:val="24"/>
    </w:rPr>
  </w:style>
  <w:style w:type="character" w:styleId="ListLabel31">
    <w:name w:val="ListLabel 31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2">
    <w:name w:val="ListLabel 32"/>
    <w:qFormat/>
    <w:rPr>
      <w:rFonts w:ascii="Times New Roman" w:hAnsi="Times New Roman"/>
      <w:b w:val="false"/>
      <w:sz w:val="24"/>
      <w:szCs w:val="24"/>
    </w:rPr>
  </w:style>
  <w:style w:type="character" w:styleId="ListLabel33">
    <w:name w:val="ListLabel 33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4">
    <w:name w:val="ListLabel 34"/>
    <w:qFormat/>
    <w:rPr>
      <w:rFonts w:ascii="Times New Roman" w:hAnsi="Times New Roman"/>
      <w:b w:val="false"/>
      <w:sz w:val="24"/>
      <w:szCs w:val="24"/>
    </w:rPr>
  </w:style>
  <w:style w:type="character" w:styleId="ListLabel35">
    <w:name w:val="ListLabel 35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6">
    <w:name w:val="ListLabel 36"/>
    <w:qFormat/>
    <w:rPr>
      <w:rFonts w:ascii="Times New Roman" w:hAnsi="Times New Roman"/>
      <w:b w:val="false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6"/>
      <w:szCs w:val="26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Style19">
    <w:name w:val="Header"/>
    <w:basedOn w:val="Normal"/>
    <w:link w:val="a4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6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9a77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3" Type="http://schemas.openxmlformats.org/officeDocument/2006/relationships/hyperlink" Target="&#1055;&#1088;-906){&#1050;&#1086;&#1085;&#1089;&#1091;&#1083;&#1100;&#1090;&#1072;&#1085;&#1090;&#1055;&#1083;&#1102;&#1089;}" TargetMode="External"/><Relationship Id="rId4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5" Type="http://schemas.openxmlformats.org/officeDocument/2006/relationships/hyperlink" Target="consultantplus://offline/ref=458A6E9991A6B3632DC3EE8492BF4ABADCE909BC5CBA5EDD68EAB0E6E2C0DD2D1D976B0CC0ADA57DB4DE7376ADD3E3761CC25D6D6B17A8F2h9e9N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12</Pages>
  <Words>2419</Words>
  <Characters>20046</Characters>
  <CharactersWithSpaces>22350</CharactersWithSpaces>
  <Paragraphs>119</Paragraphs>
  <Company>КонсультантПлюс Версия 4018.00.70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2021-02-08T10:15:00Z</dcterms:created>
  <dc:creator>su</dc:creator>
  <dc:description/>
  <dc:language>ru-RU</dc:language>
  <cp:lastModifiedBy/>
  <dcterms:modified xsi:type="dcterms:W3CDTF">2021-02-13T16:16:40Z</dcterms:modified>
  <cp:revision>26</cp:revision>
  <dc:subject/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КонсультантПлюс Версия 4018.00.70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