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906_2013_vs.docx</w:t>
            </w:r>
          </w:p>
        </w:tc>
        <w:tc>
          <w:tcPr>
            <w:tcW w:type="dxa" w:w="2880"/>
          </w:tcPr>
          <w:p>
            <w:r>
              <w:t>% совпадения</w:t>
            </w:r>
          </w:p>
        </w:tc>
        <w:tc>
          <w:tcPr>
            <w:tcW w:type="dxa" w:w="2880"/>
          </w:tcPr>
          <w:p>
            <w:r>
              <w:t>64_2020_vs.docx</w:t>
            </w:r>
          </w:p>
        </w:tc>
      </w:tr>
      <w:tr>
        <w:tc>
          <w:tcPr>
            <w:tcW w:type="dxa" w:w="2880"/>
          </w:tcPr>
          <w:p>
            <w:r>
              <w:t>Утверждены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УТВЕРЖДЕНЫ</w:t>
            </w:r>
          </w:p>
        </w:tc>
      </w:tr>
      <w:tr>
        <w:tc>
          <w:tcPr>
            <w:tcW w:type="dxa" w:w="2880"/>
          </w:tcPr>
          <w:p>
            <w:r>
              <w:t>Президентом Российской Федерации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Российской Федерации</w:t>
            </w:r>
          </w:p>
        </w:tc>
      </w:tr>
      <w:tr>
        <w:tc>
          <w:tcPr>
            <w:tcW w:type="dxa" w:w="2880"/>
          </w:tcPr>
          <w:p>
            <w:r>
              <w:t>ОСНОВНЫЕ ПОЛОЖЕНИЯ ОСНОВ ГОСУДАРСТВЕННОЙ ПОЛИТИКИ РОССИЙСКОЙ ФЕДЕРАЦИИ В ОБЛАСТИ КОСМИЧЕСКОЙ ДЕЯТЕЛЬНОСТИ НА ПЕРИОД ДО 2030 ГОДА И ДАЛЬНЕЙШУЮ ПЕРСПЕКТИВУ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Российской Федерации</w:t>
            </w:r>
          </w:p>
        </w:tc>
      </w:tr>
      <w:tr>
        <w:tc>
          <w:tcPr>
            <w:tcW w:type="dxa" w:w="2880"/>
          </w:tcPr>
          <w:p>
            <w:r>
              <w:t>ОСНОВНЫЕ ПОЛОЖЕНИЯ ОСНОВ ГОСУДАРСТВЕННОЙ ПОЛИТИКИ РОССИЙСКОЙ ФЕДЕРАЦИИ В ОБЛАСТИ КОСМИЧЕСКОЙ ДЕЯТЕЛЬНОСТИ НА ПЕРИОД ДО 2030 ГОДА И ДАЛЬНЕЙШУЮ ПЕРСПЕКТИВУ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 xml:space="preserve">государственной политики Российской Федерации </w:t>
            </w:r>
          </w:p>
        </w:tc>
      </w:tr>
      <w:tr>
        <w:tc>
          <w:tcPr>
            <w:tcW w:type="dxa" w:w="2880"/>
          </w:tcPr>
          <w:p>
            <w:r>
              <w:t>I. Общие положения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I. Общие положения</w:t>
            </w:r>
          </w:p>
        </w:tc>
      </w:tr>
      <w:tr>
        <w:tc>
          <w:tcPr>
            <w:tcW w:type="dxa" w:w="2880"/>
          </w:tcPr>
          <w:p>
            <w:r>
              <w:t>1. Настоящими Основами определяются государственные интересы, принципы, главные цели, приоритеты и задачи государственной политики Российской Федерации в области исследования, освоения и использования космического пространства (далее - государственная политика в области космической деятельности), включая международное сотрудничество в данной сфере.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 xml:space="preserve">государственной политики Российской Федерации </w:t>
            </w:r>
          </w:p>
        </w:tc>
      </w:tr>
      <w:tr>
        <w:tc>
          <w:tcPr>
            <w:tcW w:type="dxa" w:w="2880"/>
          </w:tcPr>
          <w:p>
            <w:r>
              <w:t>1. Настоящими Основами определяются государственные интересы, принципы, главные цели, приоритеты и задачи государственной политики Российской Федерации в области исследования, освоения и использования космического пространства (далее - государственная политика в области космической деятельности), включая международное сотрудничество в данной сфере.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1. Настоящими Основами определяются главные цели, приоритеты и задачи государственной политики Российской Федерации в области исследования, освоения и использования космического пространства (далее - государственная политика в области космической деятельности), в том числе задачи международного сотрудничества.</w:t>
            </w:r>
          </w:p>
        </w:tc>
      </w:tr>
      <w:tr>
        <w:tc>
          <w:tcPr>
            <w:tcW w:type="dxa" w:w="2880"/>
          </w:tcPr>
          <w:p>
            <w:r>
              <w:t>II. Государственные интересы Российской Федерации в области космической деятельности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Российской Федерации</w:t>
            </w:r>
          </w:p>
        </w:tc>
      </w:tr>
      <w:tr>
        <w:tc>
          <w:tcPr>
            <w:tcW w:type="dxa" w:w="2880"/>
          </w:tcPr>
          <w:p>
            <w:r>
              <w:t>5. Государственными интересами Российской Федерации в области космической деятельности являются: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Российской Федерации</w:t>
            </w:r>
          </w:p>
        </w:tc>
      </w:tr>
      <w:tr>
        <w:tc>
          <w:tcPr>
            <w:tcW w:type="dxa" w:w="2880"/>
          </w:tcPr>
          <w:p>
            <w:r>
              <w:t>III. Принципы государственной политики в области космической деятельности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 xml:space="preserve">в области космической деятельности </w:t>
            </w:r>
          </w:p>
        </w:tc>
      </w:tr>
      <w:tr>
        <w:tc>
          <w:tcPr>
            <w:tcW w:type="dxa" w:w="2880"/>
          </w:tcPr>
          <w:p>
            <w:r>
              <w:t>III. Принципы государственной политики в области космической деятельности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в области космической деятельности</w:t>
            </w:r>
          </w:p>
        </w:tc>
      </w:tr>
      <w:tr>
        <w:tc>
          <w:tcPr>
            <w:tcW w:type="dxa" w:w="2880"/>
          </w:tcPr>
          <w:p>
            <w:r>
              <w:t>III. Принципы государственной политики в области космической деятельности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 xml:space="preserve">IV. Задачи государственной политики в области </w:t>
              <w:br/>
              <w:t xml:space="preserve">космической деятельности </w:t>
            </w:r>
          </w:p>
        </w:tc>
      </w:tr>
      <w:tr>
        <w:tc>
          <w:tcPr>
            <w:tcW w:type="dxa" w:w="2880"/>
          </w:tcPr>
          <w:p>
            <w:r>
              <w:t>IV. Главные цели и приоритеты государственной политики в области космической деятельности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 xml:space="preserve">в области космической деятельности </w:t>
            </w:r>
          </w:p>
        </w:tc>
      </w:tr>
      <w:tr>
        <w:tc>
          <w:tcPr>
            <w:tcW w:type="dxa" w:w="2880"/>
          </w:tcPr>
          <w:p>
            <w:r>
              <w:t>IV. Главные цели и приоритеты государственной политики в области космической деятельности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в области космической деятельности</w:t>
            </w:r>
          </w:p>
        </w:tc>
      </w:tr>
      <w:tr>
        <w:tc>
          <w:tcPr>
            <w:tcW w:type="dxa" w:w="2880"/>
          </w:tcPr>
          <w:p>
            <w:r>
              <w:t>IV. Главные цели и приоритеты государственной политики в области космической деятельности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 xml:space="preserve">IV. Задачи государственной политики в области </w:t>
              <w:br/>
              <w:t xml:space="preserve">космической деятельности </w:t>
            </w:r>
          </w:p>
        </w:tc>
      </w:tr>
      <w:tr>
        <w:tc>
          <w:tcPr>
            <w:tcW w:type="dxa" w:w="2880"/>
          </w:tcPr>
          <w:p>
            <w:r>
              <w:t>8. Главными целями государственной политики в области космической деятельности являются: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 xml:space="preserve">в области космической деятельности </w:t>
            </w:r>
          </w:p>
        </w:tc>
      </w:tr>
      <w:tr>
        <w:tc>
          <w:tcPr>
            <w:tcW w:type="dxa" w:w="2880"/>
          </w:tcPr>
          <w:p>
            <w:r>
              <w:t>8. Главными целями государственной политики в области космической деятельности являются: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в области космической деятельности</w:t>
            </w:r>
          </w:p>
        </w:tc>
      </w:tr>
      <w:tr>
        <w:tc>
          <w:tcPr>
            <w:tcW w:type="dxa" w:w="2880"/>
          </w:tcPr>
          <w:p>
            <w:r>
              <w:t>8. Главными целями государственной политики в области космической деятельности являются:</w:t>
            </w:r>
          </w:p>
        </w:tc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7. Главными целями государственной политики в области космической деятельности являются:</w:t>
            </w:r>
          </w:p>
        </w:tc>
      </w:tr>
      <w:tr>
        <w:tc>
          <w:tcPr>
            <w:tcW w:type="dxa" w:w="2880"/>
          </w:tcPr>
          <w:p>
            <w:r>
              <w:t>8. Главными целями государственной политики в области космической деятельности являются: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8. Приоритетами государственной политики в области космической деятельности являются:</w:t>
            </w:r>
          </w:p>
        </w:tc>
      </w:tr>
      <w:tr>
        <w:tc>
          <w:tcPr>
            <w:tcW w:type="dxa" w:w="2880"/>
          </w:tcPr>
          <w:p>
            <w:r>
              <w:t>г) развитие и расширение международного сотрудничества Российской Федерации, формирование устойчивых международных связей в интересах совместных научных исследований и освоения космического пространства, выход России в число ведущих участников мирового рынка космических товаров (работ и услуг) с учетом международных стандартов и перспектив и развитие внутреннего рынка таких товаров (работ и услуг).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г) расширение международного сотрудничества Российской Федерации, формирование устойчивых международных связей в интересах проведения совместных научных исследований и освоения космического пространства; вхождение Российской Федерации в число ведущих участников мирового рынка космических продуктов и услуг с учетом международных стандартов и перспектив развития мировой космической деятельности; развитие внутреннего рынка космических продуктов и услуг;</w:t>
            </w:r>
          </w:p>
        </w:tc>
      </w:tr>
      <w:tr>
        <w:tc>
          <w:tcPr>
            <w:tcW w:type="dxa" w:w="2880"/>
          </w:tcPr>
          <w:p>
            <w:r>
              <w:t>13. Задачами государственной политики в области космической деятельности в интересах социально-экономического развития Российской Федерации являются: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Российской Федерации</w:t>
            </w:r>
          </w:p>
        </w:tc>
      </w:tr>
      <w:tr>
        <w:tc>
          <w:tcPr>
            <w:tcW w:type="dxa" w:w="2880"/>
          </w:tcPr>
          <w:p>
            <w:r>
              <w:t>13. Задачами государственной политики в области космической деятельности в интересах социально-экономического развития Российской Федерации являются:</w:t>
            </w:r>
          </w:p>
        </w:tc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10. Задачами государственной политики в области космической деятельности в интересах социально-экономического развития Российской Федерации являются:</w:t>
            </w:r>
          </w:p>
        </w:tc>
      </w:tr>
      <w:tr>
        <w:tc>
          <w:tcPr>
            <w:tcW w:type="dxa" w:w="2880"/>
          </w:tcPr>
          <w:p>
            <w:r>
              <w:t>14. Задачами государственной политики в области космической деятельности в интересах фундаментальных космических исследований являются:</w:t>
            </w:r>
          </w:p>
        </w:tc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15. Задачами государственной политики в области космической деятельности в интересах фундаментальных космических исследований являются:</w:t>
            </w:r>
          </w:p>
        </w:tc>
      </w:tr>
      <w:tr>
        <w:tc>
          <w:tcPr>
            <w:tcW w:type="dxa" w:w="2880"/>
          </w:tcPr>
          <w:p>
            <w:r>
              <w:t>д) изучение биологических эффектов лунной и марсианской силы тяжести, создаваемой с помощью бортовых центрифуг на биоспутниках, проведение исследований комбинированных биологических эффектов невесомости и ионизирующей радиации в ходе полетов по высокоапогейным орбитам;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изучение воздействия на живые организмы лунной и марсианской силы тяжести, создаваемой с помощью бортовых центрифуг на космических аппаратах медико-биологического назначения, проведение исследований комбинированных биологических эффектов невесомости и ионизирующей радиации во время  полетов по высокоапогейным орбитам;</w:t>
            </w:r>
          </w:p>
        </w:tc>
      </w:tr>
      <w:tr>
        <w:tc>
          <w:tcPr>
            <w:tcW w:type="dxa" w:w="2880"/>
          </w:tcPr>
          <w:p>
            <w:r>
              <w:t>к) исследование факторов, воздействующих на живые организмы в ходе космического полета на околоземных космических аппаратах, в интересах развития технологий, в том числе проведение биологических экспериментов в ходе полетов обслуживаемых космических аппаратов в интересах получения научных данных о возможности многолетнего пребывания живых существ в космическом полете;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исследование факторов, воздействующих на живые организмы во время полетов на околоземных космических аппаратах, в том числе проведение биологических экспериментов для получения научных данных о возможности многолетнего пребывания живых существ в космическом полете;</w:t>
            </w:r>
          </w:p>
        </w:tc>
      </w:tr>
      <w:tr>
        <w:tc>
          <w:tcPr>
            <w:tcW w:type="dxa" w:w="2880"/>
          </w:tcPr>
          <w:p>
            <w:r>
              <w:t>15. Задачами государственной политики в области космической деятельности по развитию пилотируемых космических полетов являются:</w:t>
            </w:r>
          </w:p>
        </w:tc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16. Задачами государственной политики в области космической деятельности по развитию пилотируемых космических полетов являются:</w:t>
            </w:r>
          </w:p>
        </w:tc>
      </w:tr>
      <w:tr>
        <w:tc>
          <w:tcPr>
            <w:tcW w:type="dxa" w:w="2880"/>
          </w:tcPr>
          <w:p>
            <w:r>
              <w:t>г) расширение после 2030 года области и масштабов освоения ближнего космоса; развертывание и эксплуатация на Луне постоянно действующей базы, обслуживание и ремонт на околоземных орбитах крупных космических аппаратов и межорбитальных буксиров, проведение работ по созданию научно-технического задела для осуществления в рамках международного сотрудничества пилотируемого полета на Марс.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в) расширение после 2030 года области и масштабов освоения ближнего космоса; развертывание и эксплуатация базы на Луне, обслуживание и ремонт на околоземных орбитах крупных космических аппаратов и межорбитальных буксиров, формирование научно-технического потенциала для осуществления в рамках международного сотрудничества пилотируемого полета на Марс.</w:t>
            </w:r>
          </w:p>
        </w:tc>
      </w:tr>
      <w:tr>
        <w:tc>
          <w:tcPr>
            <w:tcW w:type="dxa" w:w="2880"/>
          </w:tcPr>
          <w:p>
            <w:r>
              <w:t>16. Задачами государственной политики в области космической деятельности по развитию производственной и испытательной баз, базовых и критических промышленных технологий являются:</w:t>
            </w:r>
          </w:p>
        </w:tc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17. Задачами государственной политики в области космической деятельности по развитию производственной и испытательной баз, базовых и критических промышленных технологий являются:</w:t>
            </w:r>
          </w:p>
        </w:tc>
      </w:tr>
      <w:tr>
        <w:tc>
          <w:tcPr>
            <w:tcW w:type="dxa" w:w="2880"/>
          </w:tcPr>
          <w:p>
            <w:r>
              <w:t>б) реализация комплекса мероприятий по поддержанию и развитию отечественной экспериментально-испытательной базы для отработки новой космической техники и перспективных технологий;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б) реализация комплекса мероприятий по поддержанию и развитию отечественной экспериментально-испытательной базы для отработки новой космической техники и перспективных технологий;</w:t>
            </w:r>
          </w:p>
        </w:tc>
      </w:tr>
      <w:tr>
        <w:tc>
          <w:tcPr>
            <w:tcW w:type="dxa" w:w="2880"/>
          </w:tcPr>
          <w:p>
            <w:r>
              <w:t>в)создание специального технологического оборудования нового поколения (с программным управлением, широким внедрением ИПИ-технологий и автоматизацией мелкосерийного и единичного производства), обеспечивающего сохранение и совершенствование промышленных технологий изготовления и отработки космической техники;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в) создание специального технологического оборудования нового поколения (с программным управлением, использованием технологий информационной поддержки жизненного цикла изделий и автоматизацией мелкосерийного и единичного производства), обеспечивающего совершенствование промышленных технологий изготовления и отработки космической техники;</w:t>
            </w:r>
          </w:p>
        </w:tc>
      </w:tr>
      <w:tr>
        <w:tc>
          <w:tcPr>
            <w:tcW w:type="dxa" w:w="2880"/>
          </w:tcPr>
          <w:p>
            <w:r>
              <w:t>г) освоение технологий создания бортовых стандартов частоты с повышенными характеристиками стабильности, унифицированных модульных элементов съемочных систем с предельно высокой разрешающей способностью, средств межспутниковой связи в оптическом и миллиметровом диапазонах, бортовой аппаратуры цифровой обработки сигналов и информации, бортовых ретрансляционных комплексов с характеристиками мирового уровня, микроэлектромеханических систем, составных телескопов с большими апертурами, работающих в различных диапазонах спектра излучений, новых датчиковых систем для регистрации космических лучей, создание источников ядерной энергии для решения задач энергообеспечения и транспортно-технического обслуживания лунных и межпланетных экспедиций;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г) освоение технологий создания бортовых стандартов частоты с повышенными характеристиками стабильности, унифицированных модульных элементов съемочных систем с предельно высокой разрешающей способностью, средств межспутниковой связи в оптическом и миллиметровом диапазонах электромагнитного спектра, безопасной передачи информации между космическими аппаратами и наземными станциями на основе квантовой связи, бортовой аппаратуры цифровой обработки сигналов и информации, бортовых ретрансляционных комплексов с характеристиками мирового уровня, микроэлектромеханических систем, составных телескопов с большими апертурами, работающих в различных диапазонах электромагнитного спектра, новых измерительных систем для решения задач фундаментальной науки, в том числе для регистрации космических лучей, создание источников ядерной энергии для решения задач энергообеспечения и транспортно-технического обслуживания лунных и межпланетных экспедиций;</w:t>
            </w:r>
          </w:p>
        </w:tc>
      </w:tr>
      <w:tr>
        <w:tc>
          <w:tcPr>
            <w:tcW w:type="dxa" w:w="2880"/>
          </w:tcPr>
          <w:p>
            <w:r>
              <w:t>проведение политики, направленной на расширение государственно-частного партнерства в области космической деятельности.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 xml:space="preserve">в области космической деятельности </w:t>
            </w:r>
          </w:p>
        </w:tc>
      </w:tr>
      <w:tr>
        <w:tc>
          <w:tcPr>
            <w:tcW w:type="dxa" w:w="2880"/>
          </w:tcPr>
          <w:p>
            <w:r>
              <w:t>проведение политики, направленной на расширение государственно-частного партнерства в области космической деятельности.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в области космической деятельности</w:t>
            </w:r>
          </w:p>
        </w:tc>
      </w:tr>
      <w:tr>
        <w:tc>
          <w:tcPr>
            <w:tcW w:type="dxa" w:w="2880"/>
          </w:tcPr>
          <w:p>
            <w:r>
              <w:t>VII. Задачи международного сотрудничества в области космической деятельности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 xml:space="preserve">в области космической деятельности </w:t>
            </w:r>
          </w:p>
        </w:tc>
      </w:tr>
      <w:tr>
        <w:tc>
          <w:tcPr>
            <w:tcW w:type="dxa" w:w="2880"/>
          </w:tcPr>
          <w:p>
            <w:r>
              <w:t>VII. Задачи международного сотрудничества в области космической деятельности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в области космической деятельности</w:t>
            </w:r>
          </w:p>
        </w:tc>
      </w:tr>
      <w:tr>
        <w:tc>
          <w:tcPr>
            <w:tcW w:type="dxa" w:w="2880"/>
          </w:tcPr>
          <w:p>
            <w:r>
              <w:t>VII. Задачи международного сотрудничества в области космической деятельности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18. Задачами международного сотрудничества в области космической деятельности являются:</w:t>
            </w:r>
          </w:p>
        </w:tc>
      </w:tr>
      <w:tr>
        <w:tc>
          <w:tcPr>
            <w:tcW w:type="dxa" w:w="2880"/>
          </w:tcPr>
          <w:p>
            <w:r>
              <w:t>18. Задачами международного сотрудничества в области космической деятельности являются: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 xml:space="preserve">в области космической деятельности </w:t>
            </w:r>
          </w:p>
        </w:tc>
      </w:tr>
      <w:tr>
        <w:tc>
          <w:tcPr>
            <w:tcW w:type="dxa" w:w="2880"/>
          </w:tcPr>
          <w:p>
            <w:r>
              <w:t>18. Задачами международного сотрудничества в области космической деятельности являются: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в области космической деятельности</w:t>
            </w:r>
          </w:p>
        </w:tc>
      </w:tr>
      <w:tr>
        <w:tc>
          <w:tcPr>
            <w:tcW w:type="dxa" w:w="2880"/>
          </w:tcPr>
          <w:p>
            <w:r>
              <w:t>18. Задачами международного сотрудничества в области космической деятельности являются:</w:t>
            </w:r>
          </w:p>
        </w:tc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18. Задачами международного сотрудничества в области космической деятельности являются:</w:t>
            </w:r>
          </w:p>
        </w:tc>
      </w:tr>
      <w:tr>
        <w:tc>
          <w:tcPr>
            <w:tcW w:type="dxa" w:w="2880"/>
          </w:tcPr>
          <w:p>
            <w:r>
              <w:t>е) активное участие в рассмотрении и решении на международном уровне проблем, связанных с техногенным засорением околоземного космического пространства, включая вопросы предупреждения образования и удаления космического мусора из зоны рабочих орбит космических аппаратов;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е) активное участие в обсуждении и решении на международном уровне вопросов, связанных с техногенным засорением околоземного космического пространства, в том числе с предупреждением образования и удаления космического мусора из зоны рабочих орбит космических аппаратов;</w:t>
            </w:r>
          </w:p>
        </w:tc>
      </w:tr>
      <w:tr>
        <w:tc>
          <w:tcPr>
            <w:tcW w:type="dxa" w:w="2880"/>
          </w:tcPr>
          <w:p>
            <w:r>
              <w:t>ж) проведение активной политики по информированию международного сообщества о достижениях и возможностях Российской Федерации в области космической деятельности.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Российской Федерации</w:t>
            </w:r>
          </w:p>
        </w:tc>
      </w:tr>
      <w:tr>
        <w:tc>
          <w:tcPr>
            <w:tcW w:type="dxa" w:w="2880"/>
          </w:tcPr>
          <w:p>
            <w:r>
              <w:t>ж) проведение активной политики по информированию международного сообщества о достижениях и возможностях Российской Федерации в области космической деятельности.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ж) активное информирование международного сообщества о достижениях и возможностях Российской Федерации в области космической деятельности;</w:t>
            </w:r>
          </w:p>
        </w:tc>
      </w:tr>
      <w:tr>
        <w:tc>
          <w:tcPr>
            <w:tcW w:type="dxa" w:w="2880"/>
          </w:tcPr>
          <w:p>
            <w:r>
              <w:t>VIII. Задачи в области обеспечения безопасности космической деятельности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19. Задачами в области обеспечения безопасности космической деятельности являются:</w:t>
            </w:r>
          </w:p>
        </w:tc>
      </w:tr>
      <w:tr>
        <w:tc>
          <w:tcPr>
            <w:tcW w:type="dxa" w:w="2880"/>
          </w:tcPr>
          <w:p>
            <w:r>
              <w:t>19. Задачами в области обеспечения безопасности космической деятельности являются:</w:t>
            </w:r>
          </w:p>
        </w:tc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19. Задачами в области обеспечения безопасности космической деятельности являются:</w:t>
            </w:r>
          </w:p>
        </w:tc>
      </w:tr>
      <w:tr>
        <w:tc>
          <w:tcPr>
            <w:tcW w:type="dxa" w:w="2880"/>
          </w:tcPr>
          <w:p>
            <w:r>
              <w:t>а) совершенствование государственного регулирования порядка допуска операторов, использующих иностранные космические системы и средства, в информационное пространство Российской Федерации;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 xml:space="preserve">а) совершенствование государственного регулирования порядка допуска организаций-операторов, использующих иностранные космические системы и средства, в информационное пространство Российской Федерации; </w:t>
            </w:r>
          </w:p>
        </w:tc>
      </w:tr>
      <w:tr>
        <w:tc>
          <w:tcPr>
            <w:tcW w:type="dxa" w:w="2880"/>
          </w:tcPr>
          <w:p>
            <w:r>
              <w:t>г) обеспечение экологической безопасности космической деятельности, внедрение технологий и конструкций, снижающих образование космического мусора при запусках и эксплуатации изделий ракетно-космической техники.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д) обеспечение экологической безопасности космической деятельности, применение технологий и конструкций, уменьшающих образование космического мусора при запусках и эксплуатации изделий ракетно-космической техники;</w:t>
            </w:r>
          </w:p>
        </w:tc>
      </w:tr>
      <w:tr>
        <w:tc>
          <w:tcPr>
            <w:tcW w:type="dxa" w:w="2880"/>
          </w:tcPr>
          <w:p>
            <w:r>
              <w:t>IX. Результаты реализации целей государственной политики в области космической деятельности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 xml:space="preserve">в области космической деятельности </w:t>
            </w:r>
          </w:p>
        </w:tc>
      </w:tr>
      <w:tr>
        <w:tc>
          <w:tcPr>
            <w:tcW w:type="dxa" w:w="2880"/>
          </w:tcPr>
          <w:p>
            <w:r>
              <w:t>IX. Результаты реализации целей государственной политики в области космической деятельности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в области космической деятельности</w:t>
            </w:r>
          </w:p>
        </w:tc>
      </w:tr>
      <w:tr>
        <w:tc>
          <w:tcPr>
            <w:tcW w:type="dxa" w:w="2880"/>
          </w:tcPr>
          <w:p>
            <w:r>
              <w:t>IX. Результаты реализации целей государственной политики в области космической деятельности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 xml:space="preserve">V. Ожидаемые результаты реализации государственной </w:t>
              <w:br/>
              <w:t>политики в области космической деятельности</w:t>
            </w:r>
          </w:p>
        </w:tc>
      </w:tr>
      <w:tr>
        <w:tc>
          <w:tcPr>
            <w:tcW w:type="dxa" w:w="2880"/>
          </w:tcPr>
          <w:p>
            <w:r>
              <w:t>поддержание статуса России как одной из ведущих космических держав;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поддержание статуса Российской Федерации как одной из ведущих космических держав;</w:t>
            </w:r>
          </w:p>
        </w:tc>
      </w:tr>
      <w:tr>
        <w:tc>
          <w:tcPr>
            <w:tcW w:type="dxa" w:w="2880"/>
          </w:tcPr>
          <w:p>
            <w:r>
              <w:t>создание научно-технического и технологического потенциалов для реализации масштабных проектов, в том числе для углубленного изучения планет и других тел Солнечной системы;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формирование научно-технического и технологического потенциала для реализации масштабных космических проектов, в том числе для углубленного изучения планет и других небесных тел Солнечной системы;</w:t>
            </w:r>
          </w:p>
        </w:tc>
      </w:tr>
      <w:tr>
        <w:tc>
          <w:tcPr>
            <w:tcW w:type="dxa" w:w="2880"/>
          </w:tcPr>
          <w:p>
            <w:r>
              <w:t>б) к 2030 году: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б) к 2030 году:</w:t>
            </w:r>
          </w:p>
        </w:tc>
      </w:tr>
      <w:tr>
        <w:tc>
          <w:tcPr>
            <w:tcW w:type="dxa" w:w="2880"/>
          </w:tcPr>
          <w:p>
            <w:r>
              <w:t>б) к 2030 году: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б) к 2030 году:</w:t>
            </w:r>
          </w:p>
        </w:tc>
      </w:tr>
      <w:tr>
        <w:tc>
          <w:tcPr>
            <w:tcW w:type="dxa" w:w="2880"/>
          </w:tcPr>
          <w:p>
            <w:r>
              <w:t>б) к 2030 году: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б) к 2030 году:</w:t>
            </w:r>
          </w:p>
        </w:tc>
      </w:tr>
      <w:tr>
        <w:tc>
          <w:tcPr>
            <w:tcW w:type="dxa" w:w="2880"/>
          </w:tcPr>
          <w:p>
            <w:r>
              <w:t>б) к 2030 году: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б) к 2030 году:</w:t>
            </w:r>
          </w:p>
        </w:tc>
      </w:tr>
      <w:tr>
        <w:tc>
          <w:tcPr>
            <w:tcW w:type="dxa" w:w="2880"/>
          </w:tcPr>
          <w:p>
            <w:r>
              <w:t>б) к 2030 году: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б) к 2030 году:</w:t>
            </w:r>
          </w:p>
        </w:tc>
      </w:tr>
      <w:tr>
        <w:tc>
          <w:tcPr>
            <w:tcW w:type="dxa" w:w="2880"/>
          </w:tcPr>
          <w:p>
            <w:r>
              <w:t>в) после 2030 года: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в) после 2030 года:</w:t>
            </w:r>
          </w:p>
        </w:tc>
      </w:tr>
      <w:tr>
        <w:tc>
          <w:tcPr>
            <w:tcW w:type="dxa" w:w="2880"/>
          </w:tcPr>
          <w:p>
            <w:r>
              <w:t>в) после 2030 года: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в) после 2030 года:</w:t>
            </w:r>
          </w:p>
        </w:tc>
      </w:tr>
      <w:tr>
        <w:tc>
          <w:tcPr>
            <w:tcW w:type="dxa" w:w="2880"/>
          </w:tcPr>
          <w:p>
            <w:r>
              <w:t>создание научно-технической и технологической основы для полномасштабного участия России в международной кооперации для подготовки и осуществления пилотируемого полета на Марс и других международных проектов по исследованию, освоению и использованию космического пространства.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создание научно-технической и технологической основ для полномасштабного участия Российской Федерации в международной кооперации по подготовке и осуществлению пилотируемого полета на Марс и в других международных проектах по исследованию, освоению и использованию космического пространства.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