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16D7" w14:textId="77777777" w:rsidR="003A26EA" w:rsidRPr="00DE7D87" w:rsidRDefault="00000000">
      <w:pPr>
        <w:spacing w:line="240" w:lineRule="auto"/>
        <w:rPr>
          <w:sz w:val="28"/>
          <w:szCs w:val="28"/>
        </w:rPr>
      </w:pPr>
      <w:r w:rsidRPr="00DE7D87">
        <w:rPr>
          <w:b/>
          <w:sz w:val="28"/>
          <w:szCs w:val="28"/>
        </w:rPr>
        <w:t>Phase 1 Problem Statement: Counterfactual Conversation Emulation</w:t>
      </w:r>
    </w:p>
    <w:p w14:paraId="294A15A4" w14:textId="5714B9EF" w:rsidR="003A26EA" w:rsidRDefault="00000000">
      <w:pPr>
        <w:spacing w:after="80" w:line="240" w:lineRule="auto"/>
      </w:pPr>
      <w:r>
        <w:rPr>
          <w:b/>
        </w:rPr>
        <w:t xml:space="preserve">Goal: </w:t>
      </w:r>
      <w:r>
        <w:t>estimate the causal deployment effect of replacing historical clinician final outputs with a fixed medical AI agent, using retrospective medical conversation data.</w:t>
      </w:r>
    </w:p>
    <w:p w14:paraId="5F2A88D1" w14:textId="77777777" w:rsidR="00DE7D87" w:rsidRDefault="00DE7D87">
      <w:pPr>
        <w:spacing w:before="100" w:line="240" w:lineRule="auto"/>
        <w:rPr>
          <w:b/>
          <w:color w:val="000000"/>
          <w:sz w:val="20"/>
          <w:lang w:eastAsia="zh-CN"/>
        </w:rPr>
      </w:pPr>
    </w:p>
    <w:p w14:paraId="1A2CFEC3" w14:textId="0097EB4D" w:rsidR="003A26EA" w:rsidRDefault="00000000">
      <w:pPr>
        <w:spacing w:before="100" w:line="240" w:lineRule="auto"/>
      </w:pPr>
      <w:r>
        <w:rPr>
          <w:b/>
          <w:color w:val="000000"/>
          <w:sz w:val="20"/>
        </w:rPr>
        <w:t>Problem Formulation</w:t>
      </w:r>
    </w:p>
    <w:p w14:paraId="4B362B92" w14:textId="77777777" w:rsidR="003A26EA" w:rsidRDefault="00000000">
      <w:pPr>
        <w:spacing w:line="250" w:lineRule="auto"/>
      </w:pPr>
      <w:r>
        <w:t xml:space="preserve">We study historical clinician-patient encounters where a clinician observed a patient context and wrote a final assessment and management plan. The target intervention is not a full multi-turn dialogue policy in v1. Instead, each encounter is one contextual-bandit decision: at time zero observe pre-decision context </w:t>
      </w:r>
      <w:r>
        <w:rPr>
          <w:b/>
        </w:rPr>
        <w:t>X</w:t>
      </w:r>
      <w:r>
        <w:t xml:space="preserve">, choose a free-form final clinical action </w:t>
      </w:r>
      <w:r>
        <w:rPr>
          <w:b/>
        </w:rPr>
        <w:t>A</w:t>
      </w:r>
      <w:r>
        <w:t xml:space="preserve"> consisting of diagnosis/differential plus management plan, and evaluate a scalar rubric reward </w:t>
      </w:r>
      <w:r>
        <w:rPr>
          <w:b/>
        </w:rPr>
        <w:t>Y in [0, 1]</w:t>
      </w:r>
      <w:r>
        <w:t>.</w:t>
      </w:r>
    </w:p>
    <w:p w14:paraId="78326ABC" w14:textId="77777777" w:rsidR="003A26EA" w:rsidRDefault="00000000">
      <w:pPr>
        <w:spacing w:after="60" w:line="250" w:lineRule="auto"/>
      </w:pPr>
      <w:r>
        <w:t>Scientific question: for encounters drawn from the same population as the logged clinician-note data, what would the expected quality score have been if the fixed agent policy had produced the final clinical output instead of the clinician?</w:t>
      </w:r>
    </w:p>
    <w:p w14:paraId="56C45A80" w14:textId="77777777" w:rsidR="00DE7D87" w:rsidRDefault="00DE7D87">
      <w:pPr>
        <w:spacing w:before="100" w:line="240" w:lineRule="auto"/>
        <w:rPr>
          <w:b/>
          <w:color w:val="000000"/>
          <w:sz w:val="20"/>
          <w:lang w:eastAsia="zh-CN"/>
        </w:rPr>
      </w:pPr>
    </w:p>
    <w:p w14:paraId="4135A150" w14:textId="4009E5DE" w:rsidR="003A26EA" w:rsidRDefault="00000000">
      <w:pPr>
        <w:spacing w:before="100" w:line="240" w:lineRule="auto"/>
      </w:pPr>
      <w:r>
        <w:rPr>
          <w:b/>
          <w:color w:val="000000"/>
          <w:sz w:val="20"/>
        </w:rPr>
        <w:t xml:space="preserve">Primary </w:t>
      </w:r>
      <w:proofErr w:type="spellStart"/>
      <w:r>
        <w:rPr>
          <w:b/>
          <w:color w:val="000000"/>
          <w:sz w:val="20"/>
        </w:rPr>
        <w:t>Estimand</w:t>
      </w:r>
      <w:proofErr w:type="spellEnd"/>
    </w:p>
    <w:p w14:paraId="417A4D02" w14:textId="77777777" w:rsidR="003A26EA" w:rsidRDefault="00000000">
      <w:pPr>
        <w:spacing w:after="30" w:line="240" w:lineRule="auto"/>
      </w:pPr>
      <w:r>
        <w:rPr>
          <w:rFonts w:ascii="Courier New" w:eastAsia="Courier New" w:hAnsi="Courier New"/>
          <w:sz w:val="15"/>
        </w:rPr>
        <w:t>V(pi_agent) = E_X [ E_{A ~ pi_agent(.|X)} [ q(X, A) ] ],    q(x, a) = E[Y(a) | X = x]</w:t>
      </w:r>
    </w:p>
    <w:p w14:paraId="0BE9227E" w14:textId="77777777" w:rsidR="003A26EA" w:rsidRDefault="00000000">
      <w:pPr>
        <w:spacing w:after="30" w:line="240" w:lineRule="auto"/>
      </w:pPr>
      <w:r>
        <w:rPr>
          <w:rFonts w:ascii="Courier New" w:eastAsia="Courier New" w:hAnsi="Courier New"/>
          <w:sz w:val="15"/>
        </w:rPr>
        <w:t>V(pi_b) = E_X [ E_{A ~ pi_b(.|X)} [ q(X, A) ] ],    Delta = V(pi_agent) - V(pi_b)</w:t>
      </w:r>
    </w:p>
    <w:p w14:paraId="09DCEA4F" w14:textId="77777777" w:rsidR="003A26EA" w:rsidRDefault="00000000">
      <w:pPr>
        <w:spacing w:after="60" w:line="250" w:lineRule="auto"/>
      </w:pPr>
      <w:r>
        <w:rPr>
          <w:b/>
        </w:rPr>
        <w:t xml:space="preserve">Interpretation: </w:t>
      </w:r>
      <w:r>
        <w:t>Delta is the average change in rubric-defined final clinical-output quality if the fixed agent replaced the clinician final output for the eligible historical encounter population. The logged behavior value is estimated by the empirical mean of clinician scores; the agent value requires OPE because rewards are observed only for logged clinician actions.</w:t>
      </w:r>
    </w:p>
    <w:p w14:paraId="76580CF1" w14:textId="77777777" w:rsidR="00DE7D87" w:rsidRDefault="00DE7D87">
      <w:pPr>
        <w:spacing w:before="100" w:line="240" w:lineRule="auto"/>
        <w:rPr>
          <w:b/>
          <w:color w:val="000000"/>
          <w:sz w:val="20"/>
          <w:lang w:eastAsia="zh-CN"/>
        </w:rPr>
      </w:pPr>
    </w:p>
    <w:p w14:paraId="7B158474" w14:textId="45D0CD12" w:rsidR="003A26EA" w:rsidRDefault="00000000">
      <w:pPr>
        <w:spacing w:before="100" w:line="240" w:lineRule="auto"/>
      </w:pPr>
      <w:r>
        <w:rPr>
          <w:b/>
          <w:color w:val="000000"/>
          <w:sz w:val="20"/>
        </w:rPr>
        <w:t>Notation Table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200"/>
        <w:gridCol w:w="2665"/>
        <w:gridCol w:w="6210"/>
      </w:tblGrid>
      <w:tr w:rsidR="003A26EA" w14:paraId="60019D52" w14:textId="77777777" w:rsidTr="001D53AC">
        <w:tc>
          <w:tcPr>
            <w:tcW w:w="1200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875958" w14:textId="77777777" w:rsidR="003A26EA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Symbol</w:t>
            </w:r>
          </w:p>
        </w:tc>
        <w:tc>
          <w:tcPr>
            <w:tcW w:w="2665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7B3A8A" w14:textId="77777777" w:rsidR="003A26EA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Meaning</w:t>
            </w:r>
          </w:p>
        </w:tc>
        <w:tc>
          <w:tcPr>
            <w:tcW w:w="6210" w:type="dxa"/>
            <w:shd w:val="clear" w:color="auto" w:fill="F3F4F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81BB76" w14:textId="77777777" w:rsidR="003A26EA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Operational definition in this project</w:t>
            </w:r>
          </w:p>
        </w:tc>
      </w:tr>
      <w:tr w:rsidR="003A26EA" w14:paraId="61372FB4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FD2B81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i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7AD019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Encounter index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8E3FEC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One historical medical conversation paired with a clinician note.</w:t>
            </w:r>
          </w:p>
        </w:tc>
      </w:tr>
      <w:tr w:rsidR="003A26EA" w14:paraId="5E5BB3F8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2DE6AF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X_i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F77655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Patient context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835B8B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Information available at time zero; excludes clinician final diagnosis, assessment, plan, and post-decision facts.</w:t>
            </w:r>
          </w:p>
        </w:tc>
      </w:tr>
      <w:tr w:rsidR="003A26EA" w14:paraId="3B9E52C9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140E14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A_i^b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6CFF11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Behavior action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81F4EF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Clinician final diagnosis/differential and management plan extracted from the note.</w:t>
            </w:r>
          </w:p>
        </w:tc>
      </w:tr>
      <w:tr w:rsidR="003A26EA" w14:paraId="050732C9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DABA51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pi_b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2A9256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Behavior policy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3CD013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Unknown human clinician policy that generated the logged action.</w:t>
            </w:r>
          </w:p>
        </w:tc>
      </w:tr>
      <w:tr w:rsidR="003A26EA" w14:paraId="2A091A9B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34003F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pi_agent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FA1F57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Target policy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913E20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Frozen model, prompt, input template, decoding settings, and tool policy.</w:t>
            </w:r>
          </w:p>
        </w:tc>
      </w:tr>
      <w:tr w:rsidR="003A26EA" w14:paraId="215061E7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4E8300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Y_i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0476E8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Observed reward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528F4D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Continuous LLM-as-judge clinical quality score for (X_i, A_i^b), normalized to [0, 1].</w:t>
            </w:r>
          </w:p>
        </w:tc>
      </w:tr>
      <w:tr w:rsidR="003A26EA" w14:paraId="3CD5611F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C8A819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phi(A)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E57E01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Action representation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1FCBAB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Embedding or cluster representation used for large-language-action OPE.</w:t>
            </w:r>
          </w:p>
        </w:tc>
      </w:tr>
      <w:tr w:rsidR="003A26EA" w14:paraId="22220785" w14:textId="77777777" w:rsidTr="001D53AC">
        <w:tc>
          <w:tcPr>
            <w:tcW w:w="12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FBC1CB" w14:textId="77777777" w:rsidR="003A26EA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sz w:val="14"/>
              </w:rPr>
              <w:t>E_i</w:t>
            </w:r>
          </w:p>
        </w:tc>
        <w:tc>
          <w:tcPr>
            <w:tcW w:w="266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46794A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Embedded action</w:t>
            </w:r>
          </w:p>
        </w:tc>
        <w:tc>
          <w:tcPr>
            <w:tcW w:w="621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A7DEFA" w14:textId="77777777" w:rsidR="003A26EA" w:rsidRDefault="00000000">
            <w:pPr>
              <w:spacing w:after="0" w:line="240" w:lineRule="auto"/>
            </w:pPr>
            <w:r>
              <w:rPr>
                <w:sz w:val="14"/>
              </w:rPr>
              <w:t>E_i = phi(A_i^b); target-agent actions also receive E_i^agent = phi(A_i^agent).</w:t>
            </w:r>
          </w:p>
        </w:tc>
      </w:tr>
    </w:tbl>
    <w:p w14:paraId="27102A11" w14:textId="77777777" w:rsidR="00DE7D87" w:rsidRDefault="00DE7D87">
      <w:pPr>
        <w:spacing w:before="100" w:line="240" w:lineRule="auto"/>
        <w:rPr>
          <w:b/>
          <w:color w:val="000000"/>
          <w:sz w:val="20"/>
          <w:lang w:eastAsia="zh-CN"/>
        </w:rPr>
      </w:pPr>
    </w:p>
    <w:p w14:paraId="0E8745F9" w14:textId="2AF57EDA" w:rsidR="003A26EA" w:rsidRDefault="00000000">
      <w:pPr>
        <w:spacing w:before="100" w:line="240" w:lineRule="auto"/>
      </w:pPr>
      <w:r>
        <w:rPr>
          <w:b/>
          <w:color w:val="000000"/>
          <w:sz w:val="20"/>
        </w:rPr>
        <w:t>Assumptions</w:t>
      </w:r>
    </w:p>
    <w:tbl>
      <w:tblPr>
        <w:tblStyle w:val="TableGrid"/>
        <w:tblW w:w="9800" w:type="dxa"/>
        <w:tblLayout w:type="fixed"/>
        <w:tblLook w:val="04A0" w:firstRow="1" w:lastRow="0" w:firstColumn="1" w:lastColumn="0" w:noHBand="0" w:noVBand="1"/>
      </w:tblPr>
      <w:tblGrid>
        <w:gridCol w:w="4900"/>
        <w:gridCol w:w="4900"/>
      </w:tblGrid>
      <w:tr w:rsidR="003A26EA" w14:paraId="0EACA8DE" w14:textId="77777777">
        <w:tc>
          <w:tcPr>
            <w:tcW w:w="4900" w:type="dxa"/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40DF6" w14:textId="77777777" w:rsidR="003A26EA" w:rsidRDefault="00000000">
            <w:pPr>
              <w:spacing w:line="240" w:lineRule="auto"/>
            </w:pPr>
            <w:r>
              <w:rPr>
                <w:b/>
                <w:sz w:val="15"/>
              </w:rPr>
              <w:t>Identification Assumptions</w:t>
            </w:r>
          </w:p>
          <w:p w14:paraId="28E89286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Consistency:</w:t>
            </w:r>
            <w:r>
              <w:rPr>
                <w:sz w:val="14"/>
              </w:rPr>
              <w:t xml:space="preserve"> observed clinician reward equals the potential reward under the observed action.</w:t>
            </w:r>
          </w:p>
          <w:p w14:paraId="7D49F7C4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Time-zero validity:</w:t>
            </w:r>
            <w:r>
              <w:rPr>
                <w:sz w:val="14"/>
              </w:rPr>
              <w:t xml:space="preserve"> X contains only pre-decision information.</w:t>
            </w:r>
          </w:p>
          <w:p w14:paraId="19B31949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Fixed target policy:</w:t>
            </w:r>
            <w:r>
              <w:rPr>
                <w:sz w:val="14"/>
              </w:rPr>
              <w:t xml:space="preserve"> pi_agent is frozen before evaluation.</w:t>
            </w:r>
          </w:p>
          <w:p w14:paraId="06DDBB66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No interference:</w:t>
            </w:r>
            <w:r>
              <w:rPr>
                <w:sz w:val="14"/>
              </w:rPr>
              <w:t xml:space="preserve"> one encounter's action does not affect another reward.</w:t>
            </w:r>
          </w:p>
          <w:p w14:paraId="036ADC2D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Conditional exchangeability:</w:t>
            </w:r>
            <w:r>
              <w:rPr>
                <w:sz w:val="14"/>
              </w:rPr>
              <w:t xml:space="preserve"> given X, reward for an action is comparable across settings.</w:t>
            </w:r>
          </w:p>
        </w:tc>
        <w:tc>
          <w:tcPr>
            <w:tcW w:w="4900" w:type="dxa"/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D4C97" w14:textId="77777777" w:rsidR="003A26EA" w:rsidRDefault="00000000">
            <w:pPr>
              <w:spacing w:line="240" w:lineRule="auto"/>
            </w:pPr>
            <w:r>
              <w:rPr>
                <w:b/>
                <w:sz w:val="15"/>
              </w:rPr>
              <w:t>Estimator-Specific Assumptions</w:t>
            </w:r>
          </w:p>
          <w:p w14:paraId="08C01713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Common embedding support:</w:t>
            </w:r>
            <w:r>
              <w:rPr>
                <w:sz w:val="14"/>
              </w:rPr>
              <w:t xml:space="preserve"> agent action embeddings lie in clinician-covered regions for comparable X.</w:t>
            </w:r>
          </w:p>
          <w:p w14:paraId="4C41DBB0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MIPS no direct effect:</w:t>
            </w:r>
            <w:r>
              <w:rPr>
                <w:sz w:val="14"/>
              </w:rPr>
              <w:t xml:space="preserve"> action effects on Y are mediated by phi(A).</w:t>
            </w:r>
          </w:p>
          <w:p w14:paraId="1595DA16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OffCEM local correctness:</w:t>
            </w:r>
            <w:r>
              <w:rPr>
                <w:sz w:val="14"/>
              </w:rPr>
              <w:t xml:space="preserve"> residual modeling captures within-cluster language effects.</w:t>
            </w:r>
          </w:p>
          <w:p w14:paraId="30DC4E17" w14:textId="77777777" w:rsidR="003A26EA" w:rsidRDefault="00000000">
            <w:pPr>
              <w:spacing w:after="16" w:line="240" w:lineRule="auto"/>
              <w:ind w:left="173" w:hanging="101"/>
            </w:pPr>
            <w:r>
              <w:rPr>
                <w:sz w:val="14"/>
              </w:rPr>
              <w:t xml:space="preserve">• </w:t>
            </w:r>
            <w:r>
              <w:rPr>
                <w:b/>
                <w:sz w:val="14"/>
              </w:rPr>
              <w:t>Rubric validity:</w:t>
            </w:r>
            <w:r>
              <w:rPr>
                <w:sz w:val="14"/>
              </w:rPr>
              <w:t xml:space="preserve"> Y is a surrogate clinical-output quality measure, not a validated patient outcome.</w:t>
            </w:r>
          </w:p>
        </w:tc>
      </w:tr>
    </w:tbl>
    <w:p w14:paraId="28B61C0D" w14:textId="77777777" w:rsidR="00DE7D87" w:rsidRDefault="00DE7D87">
      <w:pPr>
        <w:spacing w:before="100" w:line="240" w:lineRule="auto"/>
        <w:rPr>
          <w:b/>
          <w:color w:val="000000"/>
          <w:sz w:val="20"/>
          <w:lang w:eastAsia="zh-CN"/>
        </w:rPr>
      </w:pPr>
    </w:p>
    <w:p w14:paraId="10D6FE54" w14:textId="322AA2D9" w:rsidR="003A26EA" w:rsidRDefault="00000000">
      <w:pPr>
        <w:spacing w:before="100" w:line="240" w:lineRule="auto"/>
      </w:pPr>
      <w:r>
        <w:rPr>
          <w:b/>
          <w:color w:val="000000"/>
          <w:sz w:val="20"/>
        </w:rPr>
        <w:t>Scope Decision</w:t>
      </w:r>
    </w:p>
    <w:p w14:paraId="2B0158A0" w14:textId="40CA1CFF" w:rsidR="003A26EA" w:rsidRDefault="00000000" w:rsidP="00DE7D87">
      <w:pPr>
        <w:spacing w:after="20" w:line="250" w:lineRule="auto"/>
        <w:rPr>
          <w:lang w:eastAsia="zh-CN"/>
        </w:rPr>
      </w:pPr>
      <w:r>
        <w:t>Exact sequence-level IPS is not viable because free-form language actions have near-zero exact overlap and the clinician behavior policy is unknown. The v1 benchmark therefore evaluates final-output replacement using embedding-space OPE and OffCEM-style robustness checks, while deferring full multi-turn dialogue-policy evaluation to future work.</w:t>
      </w:r>
    </w:p>
    <w:sectPr w:rsidR="003A26EA" w:rsidSect="00DE7D87">
      <w:pgSz w:w="12240" w:h="15840"/>
      <w:pgMar w:top="1440" w:right="1080" w:bottom="144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909173">
    <w:abstractNumId w:val="8"/>
  </w:num>
  <w:num w:numId="2" w16cid:durableId="329798494">
    <w:abstractNumId w:val="6"/>
  </w:num>
  <w:num w:numId="3" w16cid:durableId="800683840">
    <w:abstractNumId w:val="5"/>
  </w:num>
  <w:num w:numId="4" w16cid:durableId="1219782546">
    <w:abstractNumId w:val="4"/>
  </w:num>
  <w:num w:numId="5" w16cid:durableId="158038043">
    <w:abstractNumId w:val="7"/>
  </w:num>
  <w:num w:numId="6" w16cid:durableId="705953801">
    <w:abstractNumId w:val="3"/>
  </w:num>
  <w:num w:numId="7" w16cid:durableId="1859849255">
    <w:abstractNumId w:val="2"/>
  </w:num>
  <w:num w:numId="8" w16cid:durableId="1660425459">
    <w:abstractNumId w:val="1"/>
  </w:num>
  <w:num w:numId="9" w16cid:durableId="15985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E0C"/>
    <w:rsid w:val="001D53AC"/>
    <w:rsid w:val="0029639D"/>
    <w:rsid w:val="00326F90"/>
    <w:rsid w:val="003A26EA"/>
    <w:rsid w:val="008762D3"/>
    <w:rsid w:val="00AA1D8D"/>
    <w:rsid w:val="00B47730"/>
    <w:rsid w:val="00C415DE"/>
    <w:rsid w:val="00CB0664"/>
    <w:rsid w:val="00DE7D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CE78A"/>
  <w14:defaultImageDpi w14:val="300"/>
  <w15:docId w15:val="{E72B2F8E-AA1F-A949-BE41-B564E447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eastAsia="Arial" w:hAnsi="Arial"/>
      <w:color w:val="111827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 Wei</cp:lastModifiedBy>
  <cp:revision>3</cp:revision>
  <dcterms:created xsi:type="dcterms:W3CDTF">2026-05-19T06:15:00Z</dcterms:created>
  <dcterms:modified xsi:type="dcterms:W3CDTF">2026-05-20T01:51:00Z</dcterms:modified>
  <cp:category/>
</cp:coreProperties>
</file>