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C1DC" w14:textId="77777777" w:rsidR="005E2B5A" w:rsidRDefault="00000000">
      <w:pPr>
        <w:spacing w:line="240" w:lineRule="auto"/>
        <w:rPr>
          <w:lang w:eastAsia="zh-CN"/>
        </w:rPr>
      </w:pPr>
      <w:r>
        <w:rPr>
          <w:b/>
          <w:sz w:val="31"/>
          <w:lang w:eastAsia="zh-CN"/>
        </w:rPr>
        <w:t xml:space="preserve">Phase 1 </w:t>
      </w:r>
      <w:r>
        <w:rPr>
          <w:b/>
          <w:sz w:val="31"/>
          <w:lang w:eastAsia="zh-CN"/>
        </w:rPr>
        <w:t>问题陈述：反事实对话仿真</w:t>
      </w:r>
    </w:p>
    <w:p w14:paraId="45840A09" w14:textId="77777777" w:rsidR="005E2B5A" w:rsidRDefault="00000000">
      <w:pPr>
        <w:spacing w:after="80" w:line="240" w:lineRule="auto"/>
      </w:pPr>
      <w:r>
        <w:rPr>
          <w:b/>
        </w:rPr>
        <w:t>目标：</w:t>
      </w:r>
      <w:r>
        <w:t>使用回顾性医患对话数据，估计将历史</w:t>
      </w:r>
      <w:r>
        <w:t xml:space="preserve"> clinician final output </w:t>
      </w:r>
      <w:r>
        <w:t>替换为固定医疗</w:t>
      </w:r>
      <w:r>
        <w:t xml:space="preserve"> AI agent </w:t>
      </w:r>
      <w:r>
        <w:t>后的因果部署效应。</w:t>
      </w:r>
    </w:p>
    <w:p w14:paraId="7581D16F" w14:textId="77777777" w:rsidR="005E2B5A" w:rsidRDefault="00000000">
      <w:pPr>
        <w:spacing w:before="100" w:line="240" w:lineRule="auto"/>
      </w:pPr>
      <w:r>
        <w:rPr>
          <w:b/>
          <w:color w:val="000000"/>
          <w:sz w:val="20"/>
        </w:rPr>
        <w:t>问题形式化</w:t>
      </w:r>
    </w:p>
    <w:p w14:paraId="104C8B2F" w14:textId="77777777" w:rsidR="005E2B5A" w:rsidRDefault="00000000">
      <w:pPr>
        <w:spacing w:line="250" w:lineRule="auto"/>
        <w:rPr>
          <w:rFonts w:hint="eastAsia"/>
          <w:lang w:eastAsia="zh-CN"/>
        </w:rPr>
      </w:pPr>
      <w:r>
        <w:t>本项目研究历史医患</w:t>
      </w:r>
      <w:r>
        <w:t xml:space="preserve"> encounter</w:t>
      </w:r>
      <w:r>
        <w:t>：</w:t>
      </w:r>
      <w:r>
        <w:t xml:space="preserve">clinician </w:t>
      </w:r>
      <w:r>
        <w:t>观察患者上下文，并写下最终</w:t>
      </w:r>
      <w:r>
        <w:t xml:space="preserve"> assessment </w:t>
      </w:r>
      <w:r>
        <w:t>和</w:t>
      </w:r>
      <w:r>
        <w:t xml:space="preserve"> management plan</w:t>
      </w:r>
      <w:r>
        <w:t>。</w:t>
      </w:r>
      <w:r>
        <w:t xml:space="preserve">v1 </w:t>
      </w:r>
      <w:r>
        <w:t>的干预对象不是完整多轮对话策略，而是单步</w:t>
      </w:r>
      <w:r>
        <w:t xml:space="preserve"> contextual bandit </w:t>
      </w:r>
      <w:r>
        <w:t>决策：在</w:t>
      </w:r>
      <w:r>
        <w:t xml:space="preserve"> time zero </w:t>
      </w:r>
      <w:r>
        <w:t>观察决策前上下文</w:t>
      </w:r>
      <w:r>
        <w:t xml:space="preserve"> </w:t>
      </w:r>
      <w:r>
        <w:rPr>
          <w:b/>
        </w:rPr>
        <w:t>X</w:t>
      </w:r>
      <w:r>
        <w:t>，选择一个自由文本形式的最终临床动作</w:t>
      </w:r>
      <w:r>
        <w:t xml:space="preserve"> </w:t>
      </w:r>
      <w:r>
        <w:rPr>
          <w:b/>
        </w:rPr>
        <w:t>A</w:t>
      </w:r>
      <w:r>
        <w:t>，其内容包括</w:t>
      </w:r>
      <w:r>
        <w:t xml:space="preserve"> diagnosis/differential </w:t>
      </w:r>
      <w:r>
        <w:t>和</w:t>
      </w:r>
      <w:r>
        <w:t xml:space="preserve"> management plan</w:t>
      </w:r>
      <w:r>
        <w:t>，并用标量</w:t>
      </w:r>
      <w:r>
        <w:t xml:space="preserve"> rubric reward </w:t>
      </w:r>
      <w:r>
        <w:rPr>
          <w:b/>
        </w:rPr>
        <w:t>Y in [0, 1]</w:t>
      </w:r>
      <w:r>
        <w:t xml:space="preserve"> </w:t>
      </w:r>
      <w:r>
        <w:t>评价输出质量。</w:t>
      </w:r>
    </w:p>
    <w:p w14:paraId="6384474A" w14:textId="77777777" w:rsidR="005E2B5A" w:rsidRDefault="00000000">
      <w:pPr>
        <w:spacing w:after="60" w:line="250" w:lineRule="auto"/>
      </w:pPr>
      <w:r>
        <w:t>核心科学问题：对于来自同一历史</w:t>
      </w:r>
      <w:r>
        <w:t xml:space="preserve"> clinician-note </w:t>
      </w:r>
      <w:r>
        <w:t>人群的</w:t>
      </w:r>
      <w:r>
        <w:t xml:space="preserve"> encounters</w:t>
      </w:r>
      <w:r>
        <w:t>，如果固定</w:t>
      </w:r>
      <w:r>
        <w:t xml:space="preserve"> agent policy </w:t>
      </w:r>
      <w:r>
        <w:t>生成最终临床输出，而不是</w:t>
      </w:r>
      <w:r>
        <w:t xml:space="preserve"> clinician </w:t>
      </w:r>
      <w:r>
        <w:t>原始输出，期望质量分数会如何变化？</w:t>
      </w:r>
    </w:p>
    <w:p w14:paraId="64AFCB15" w14:textId="77777777" w:rsidR="005E2B5A" w:rsidRDefault="00000000">
      <w:pPr>
        <w:spacing w:before="100" w:line="240" w:lineRule="auto"/>
      </w:pPr>
      <w:r>
        <w:rPr>
          <w:b/>
          <w:color w:val="000000"/>
          <w:sz w:val="20"/>
        </w:rPr>
        <w:t>核心</w:t>
      </w:r>
      <w:r>
        <w:rPr>
          <w:b/>
          <w:color w:val="000000"/>
          <w:sz w:val="20"/>
        </w:rPr>
        <w:t xml:space="preserve"> Estimand</w:t>
      </w:r>
    </w:p>
    <w:p w14:paraId="470EBF5E" w14:textId="77777777" w:rsidR="005E2B5A" w:rsidRDefault="00000000">
      <w:pPr>
        <w:spacing w:after="30" w:line="240" w:lineRule="auto"/>
      </w:pPr>
      <w:r>
        <w:rPr>
          <w:rFonts w:ascii="Courier New" w:hAnsi="Courier New"/>
          <w:sz w:val="15"/>
        </w:rPr>
        <w:t>V(pi_agent) = E_X [ E_{A ~ pi_agent(.|X)} [ q(X, A) ] ],    q(x, a) = E[Y(a) | X = x]</w:t>
      </w:r>
    </w:p>
    <w:p w14:paraId="1BD051B7" w14:textId="77777777" w:rsidR="005E2B5A" w:rsidRDefault="00000000">
      <w:pPr>
        <w:spacing w:after="30" w:line="240" w:lineRule="auto"/>
      </w:pPr>
      <w:r>
        <w:rPr>
          <w:rFonts w:ascii="Courier New" w:hAnsi="Courier New"/>
          <w:sz w:val="15"/>
        </w:rPr>
        <w:t>V(pi_b) = E_X [ E_{A ~ pi_b(.|X)} [ q(X, A) ] ],    Delta = V(pi_agent) - V(pi_b)</w:t>
      </w:r>
    </w:p>
    <w:p w14:paraId="21DBA7C8" w14:textId="77777777" w:rsidR="005E2B5A" w:rsidRDefault="00000000">
      <w:pPr>
        <w:spacing w:after="60" w:line="250" w:lineRule="auto"/>
      </w:pPr>
      <w:r>
        <w:rPr>
          <w:b/>
        </w:rPr>
        <w:t>解释：</w:t>
      </w:r>
      <w:r>
        <w:t xml:space="preserve">Delta </w:t>
      </w:r>
      <w:r>
        <w:t>表示在</w:t>
      </w:r>
      <w:r>
        <w:t xml:space="preserve"> eligible historical encounter population </w:t>
      </w:r>
      <w:r>
        <w:t>上，用固定</w:t>
      </w:r>
      <w:r>
        <w:t xml:space="preserve"> agent </w:t>
      </w:r>
      <w:r>
        <w:t>替换</w:t>
      </w:r>
      <w:r>
        <w:t xml:space="preserve"> clinician final output </w:t>
      </w:r>
      <w:r>
        <w:t>后，</w:t>
      </w:r>
      <w:r>
        <w:t xml:space="preserve">rubric-defined final clinical-output quality </w:t>
      </w:r>
      <w:r>
        <w:t>的平均变化。行为策略价值可由</w:t>
      </w:r>
      <w:r>
        <w:t xml:space="preserve"> clinician </w:t>
      </w:r>
      <w:r>
        <w:t>分数的经验均值估计；</w:t>
      </w:r>
      <w:r>
        <w:t xml:space="preserve">agent </w:t>
      </w:r>
      <w:r>
        <w:t>价值需要</w:t>
      </w:r>
      <w:r>
        <w:t xml:space="preserve"> OPE</w:t>
      </w:r>
      <w:r>
        <w:t>，因为真实数据只观察到</w:t>
      </w:r>
      <w:r>
        <w:t xml:space="preserve"> clinician action </w:t>
      </w:r>
      <w:r>
        <w:t>的</w:t>
      </w:r>
      <w:r>
        <w:t xml:space="preserve"> reward</w:t>
      </w:r>
      <w:r>
        <w:t>。</w:t>
      </w:r>
    </w:p>
    <w:p w14:paraId="02C07662" w14:textId="77777777" w:rsidR="005E2B5A" w:rsidRDefault="00000000">
      <w:pPr>
        <w:spacing w:before="100" w:line="240" w:lineRule="auto"/>
      </w:pPr>
      <w:r>
        <w:rPr>
          <w:b/>
          <w:color w:val="000000"/>
          <w:sz w:val="20"/>
        </w:rPr>
        <w:t>Notation Table</w:t>
      </w:r>
    </w:p>
    <w:tbl>
      <w:tblPr>
        <w:tblStyle w:val="TableGrid"/>
        <w:tblW w:w="9900" w:type="dxa"/>
        <w:tblLayout w:type="fixed"/>
        <w:tblLook w:val="04A0" w:firstRow="1" w:lastRow="0" w:firstColumn="1" w:lastColumn="0" w:noHBand="0" w:noVBand="1"/>
      </w:tblPr>
      <w:tblGrid>
        <w:gridCol w:w="1200"/>
        <w:gridCol w:w="2300"/>
        <w:gridCol w:w="6400"/>
      </w:tblGrid>
      <w:tr w:rsidR="005E2B5A" w14:paraId="371B68A0" w14:textId="77777777">
        <w:tc>
          <w:tcPr>
            <w:tcW w:w="1200" w:type="dxa"/>
            <w:shd w:val="clear" w:color="auto" w:fill="F3F4F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8A2F19" w14:textId="77777777" w:rsidR="005E2B5A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符号</w:t>
            </w:r>
          </w:p>
        </w:tc>
        <w:tc>
          <w:tcPr>
            <w:tcW w:w="2300" w:type="dxa"/>
            <w:shd w:val="clear" w:color="auto" w:fill="F3F4F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3D8CFA" w14:textId="77777777" w:rsidR="005E2B5A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含义</w:t>
            </w:r>
          </w:p>
        </w:tc>
        <w:tc>
          <w:tcPr>
            <w:tcW w:w="6400" w:type="dxa"/>
            <w:shd w:val="clear" w:color="auto" w:fill="F3F4F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563AD1" w14:textId="77777777" w:rsidR="005E2B5A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本项目中的操作化定义</w:t>
            </w:r>
          </w:p>
        </w:tc>
      </w:tr>
      <w:tr w:rsidR="005E2B5A" w14:paraId="60991EFB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98FFA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i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653919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Encounter index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4C2E4E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一条历史</w:t>
            </w:r>
            <w:r>
              <w:rPr>
                <w:sz w:val="14"/>
              </w:rPr>
              <w:t xml:space="preserve"> medical conversation </w:t>
            </w:r>
            <w:r>
              <w:rPr>
                <w:sz w:val="14"/>
              </w:rPr>
              <w:t>及其配套</w:t>
            </w:r>
            <w:r>
              <w:rPr>
                <w:sz w:val="14"/>
              </w:rPr>
              <w:t xml:space="preserve"> clinician note</w:t>
            </w:r>
            <w:r>
              <w:rPr>
                <w:sz w:val="14"/>
              </w:rPr>
              <w:t>。</w:t>
            </w:r>
          </w:p>
        </w:tc>
      </w:tr>
      <w:tr w:rsidR="005E2B5A" w14:paraId="020F1DFA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46694F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X_i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42EBA4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Patient context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56DAA7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 xml:space="preserve">time zero </w:t>
            </w:r>
            <w:r>
              <w:rPr>
                <w:sz w:val="14"/>
              </w:rPr>
              <w:t>可获得的信息；排除</w:t>
            </w:r>
            <w:r>
              <w:rPr>
                <w:sz w:val="14"/>
              </w:rPr>
              <w:t xml:space="preserve"> clinician </w:t>
            </w:r>
            <w:r>
              <w:rPr>
                <w:sz w:val="14"/>
              </w:rPr>
              <w:t>最终</w:t>
            </w:r>
            <w:r>
              <w:rPr>
                <w:sz w:val="14"/>
              </w:rPr>
              <w:t xml:space="preserve"> diagnosis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assessment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plan </w:t>
            </w:r>
            <w:r>
              <w:rPr>
                <w:sz w:val="14"/>
              </w:rPr>
              <w:t>和决策后事实。</w:t>
            </w:r>
          </w:p>
        </w:tc>
      </w:tr>
      <w:tr w:rsidR="005E2B5A" w14:paraId="19E7E896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FDA31D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A_i^b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675838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Behavior action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B02E2A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从</w:t>
            </w:r>
            <w:r>
              <w:rPr>
                <w:sz w:val="14"/>
              </w:rPr>
              <w:t xml:space="preserve"> note </w:t>
            </w:r>
            <w:r>
              <w:rPr>
                <w:sz w:val="14"/>
              </w:rPr>
              <w:t>中抽取的</w:t>
            </w:r>
            <w:r>
              <w:rPr>
                <w:sz w:val="14"/>
              </w:rPr>
              <w:t xml:space="preserve"> clinician final diagnosis/differential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management plan</w:t>
            </w:r>
            <w:r>
              <w:rPr>
                <w:sz w:val="14"/>
              </w:rPr>
              <w:t>。</w:t>
            </w:r>
          </w:p>
        </w:tc>
      </w:tr>
      <w:tr w:rsidR="005E2B5A" w14:paraId="03C8FBBC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D2888C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pi_b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CD5CB1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Behavior policy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69D979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产生</w:t>
            </w:r>
            <w:r>
              <w:rPr>
                <w:sz w:val="14"/>
              </w:rPr>
              <w:t xml:space="preserve"> logged action </w:t>
            </w:r>
            <w:r>
              <w:rPr>
                <w:sz w:val="14"/>
              </w:rPr>
              <w:t>的未知</w:t>
            </w:r>
            <w:r>
              <w:rPr>
                <w:sz w:val="14"/>
              </w:rPr>
              <w:t xml:space="preserve"> human clinician policy</w:t>
            </w:r>
            <w:r>
              <w:rPr>
                <w:sz w:val="14"/>
              </w:rPr>
              <w:t>。</w:t>
            </w:r>
          </w:p>
        </w:tc>
      </w:tr>
      <w:tr w:rsidR="005E2B5A" w14:paraId="78CAE7AD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6E09AD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pi_agent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761C66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Target policy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2C33C5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冻结后的</w:t>
            </w:r>
            <w:r>
              <w:rPr>
                <w:sz w:val="14"/>
              </w:rPr>
              <w:t xml:space="preserve"> model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prompt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input template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decoding settings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tool policy</w:t>
            </w:r>
            <w:r>
              <w:rPr>
                <w:sz w:val="14"/>
              </w:rPr>
              <w:t>。</w:t>
            </w:r>
          </w:p>
        </w:tc>
      </w:tr>
      <w:tr w:rsidR="005E2B5A" w14:paraId="00A2F8C6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26D342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Y_i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8344BF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Observed reward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F12EF3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 xml:space="preserve">LLM-as-judge </w:t>
            </w:r>
            <w:r>
              <w:rPr>
                <w:sz w:val="14"/>
              </w:rPr>
              <w:t>对</w:t>
            </w:r>
            <w:r>
              <w:rPr>
                <w:sz w:val="14"/>
              </w:rPr>
              <w:t xml:space="preserve"> (X_i, A_i^b) </w:t>
            </w:r>
            <w:r>
              <w:rPr>
                <w:sz w:val="14"/>
              </w:rPr>
              <w:t>的连续临床质量分数，归一化到</w:t>
            </w:r>
            <w:r>
              <w:rPr>
                <w:sz w:val="14"/>
              </w:rPr>
              <w:t xml:space="preserve"> [0, 1]</w:t>
            </w:r>
            <w:r>
              <w:rPr>
                <w:sz w:val="14"/>
              </w:rPr>
              <w:t>。</w:t>
            </w:r>
          </w:p>
        </w:tc>
      </w:tr>
      <w:tr w:rsidR="005E2B5A" w14:paraId="652EAAB2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2E64E7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phi(A)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E1A267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Action representation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1FF60B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用于</w:t>
            </w:r>
            <w:r>
              <w:rPr>
                <w:sz w:val="14"/>
              </w:rPr>
              <w:t xml:space="preserve"> large-language-action OPE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embedding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cluster </w:t>
            </w:r>
            <w:r>
              <w:rPr>
                <w:sz w:val="14"/>
              </w:rPr>
              <w:t>表征。</w:t>
            </w:r>
          </w:p>
        </w:tc>
      </w:tr>
      <w:tr w:rsidR="005E2B5A" w14:paraId="1E768D22" w14:textId="77777777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5754AE" w14:textId="77777777" w:rsidR="005E2B5A" w:rsidRDefault="00000000"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E_i</w:t>
            </w:r>
          </w:p>
        </w:tc>
        <w:tc>
          <w:tcPr>
            <w:tcW w:w="23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5877DF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Embedded action</w:t>
            </w:r>
          </w:p>
        </w:tc>
        <w:tc>
          <w:tcPr>
            <w:tcW w:w="64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FB65A0" w14:textId="77777777" w:rsidR="005E2B5A" w:rsidRDefault="00000000">
            <w:pPr>
              <w:spacing w:after="0" w:line="240" w:lineRule="auto"/>
            </w:pPr>
            <w:r>
              <w:rPr>
                <w:sz w:val="14"/>
              </w:rPr>
              <w:t>E_i = phi(A_i^b)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 xml:space="preserve">target-agent action </w:t>
            </w:r>
            <w:r>
              <w:rPr>
                <w:sz w:val="14"/>
              </w:rPr>
              <w:t>也计算</w:t>
            </w:r>
            <w:r>
              <w:rPr>
                <w:sz w:val="14"/>
              </w:rPr>
              <w:t xml:space="preserve"> E_i^agent = phi(A_i^agent)</w:t>
            </w:r>
            <w:r>
              <w:rPr>
                <w:sz w:val="14"/>
              </w:rPr>
              <w:t>。</w:t>
            </w:r>
          </w:p>
        </w:tc>
      </w:tr>
    </w:tbl>
    <w:p w14:paraId="45111B4E" w14:textId="77777777" w:rsidR="005E2B5A" w:rsidRDefault="00000000">
      <w:pPr>
        <w:spacing w:before="100" w:line="240" w:lineRule="auto"/>
      </w:pPr>
      <w:r>
        <w:rPr>
          <w:b/>
          <w:color w:val="000000"/>
          <w:sz w:val="20"/>
        </w:rPr>
        <w:t>Assumptions</w:t>
      </w:r>
    </w:p>
    <w:tbl>
      <w:tblPr>
        <w:tblStyle w:val="TableGrid"/>
        <w:tblW w:w="10270" w:type="dxa"/>
        <w:tblLayout w:type="fixed"/>
        <w:tblLook w:val="04A0" w:firstRow="1" w:lastRow="0" w:firstColumn="1" w:lastColumn="0" w:noHBand="0" w:noVBand="1"/>
      </w:tblPr>
      <w:tblGrid>
        <w:gridCol w:w="5140"/>
        <w:gridCol w:w="5130"/>
      </w:tblGrid>
      <w:tr w:rsidR="005E2B5A" w14:paraId="7A566A39" w14:textId="77777777" w:rsidTr="00410E20">
        <w:tc>
          <w:tcPr>
            <w:tcW w:w="5140" w:type="dxa"/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163E4" w14:textId="77777777" w:rsidR="005E2B5A" w:rsidRDefault="00000000">
            <w:pPr>
              <w:spacing w:line="240" w:lineRule="auto"/>
              <w:rPr>
                <w:lang w:eastAsia="zh-CN"/>
              </w:rPr>
            </w:pPr>
            <w:r>
              <w:rPr>
                <w:b/>
                <w:sz w:val="15"/>
              </w:rPr>
              <w:t>识别假设</w:t>
            </w:r>
          </w:p>
          <w:p w14:paraId="1971F287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Consistency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 xml:space="preserve">observed clinician reward </w:t>
            </w:r>
            <w:r>
              <w:rPr>
                <w:sz w:val="14"/>
              </w:rPr>
              <w:t>等于</w:t>
            </w:r>
            <w:r>
              <w:rPr>
                <w:sz w:val="14"/>
              </w:rPr>
              <w:t xml:space="preserve"> observed action </w:t>
            </w:r>
            <w:r>
              <w:rPr>
                <w:sz w:val="14"/>
              </w:rPr>
              <w:t>下的</w:t>
            </w:r>
            <w:r>
              <w:rPr>
                <w:sz w:val="14"/>
              </w:rPr>
              <w:t xml:space="preserve"> potential reward</w:t>
            </w:r>
            <w:r>
              <w:rPr>
                <w:sz w:val="14"/>
              </w:rPr>
              <w:t>。</w:t>
            </w:r>
          </w:p>
          <w:p w14:paraId="4371F092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Time-zero validity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 xml:space="preserve">X </w:t>
            </w:r>
            <w:r>
              <w:rPr>
                <w:sz w:val="14"/>
              </w:rPr>
              <w:t>只包含决策前信息。</w:t>
            </w:r>
          </w:p>
          <w:p w14:paraId="0526EE7B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Fixed target policy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 xml:space="preserve">pi_agent </w:t>
            </w:r>
            <w:r>
              <w:rPr>
                <w:sz w:val="14"/>
              </w:rPr>
              <w:t>在评估前冻结。</w:t>
            </w:r>
          </w:p>
          <w:p w14:paraId="41978534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No interference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>一个</w:t>
            </w:r>
            <w:r>
              <w:rPr>
                <w:sz w:val="14"/>
              </w:rPr>
              <w:t xml:space="preserve"> encounter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action </w:t>
            </w:r>
            <w:r>
              <w:rPr>
                <w:sz w:val="14"/>
              </w:rPr>
              <w:t>不影响另一个</w:t>
            </w:r>
            <w:r>
              <w:rPr>
                <w:sz w:val="14"/>
              </w:rPr>
              <w:t xml:space="preserve"> encounter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reward</w:t>
            </w:r>
            <w:r>
              <w:rPr>
                <w:sz w:val="14"/>
              </w:rPr>
              <w:t>。</w:t>
            </w:r>
          </w:p>
          <w:p w14:paraId="6CDDEF49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Conditional exchangeability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>给定</w:t>
            </w:r>
            <w:r>
              <w:rPr>
                <w:sz w:val="14"/>
              </w:rPr>
              <w:t xml:space="preserve"> X </w:t>
            </w:r>
            <w:r>
              <w:rPr>
                <w:sz w:val="14"/>
              </w:rPr>
              <w:t>后，同一</w:t>
            </w:r>
            <w:r>
              <w:rPr>
                <w:sz w:val="14"/>
              </w:rPr>
              <w:t xml:space="preserve"> action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reward </w:t>
            </w:r>
            <w:r>
              <w:rPr>
                <w:sz w:val="14"/>
              </w:rPr>
              <w:t>在</w:t>
            </w:r>
            <w:r>
              <w:rPr>
                <w:sz w:val="14"/>
              </w:rPr>
              <w:t xml:space="preserve"> logged clinician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counterfactual agent setting </w:t>
            </w:r>
            <w:r>
              <w:rPr>
                <w:sz w:val="14"/>
              </w:rPr>
              <w:t>中可比较。</w:t>
            </w:r>
          </w:p>
        </w:tc>
        <w:tc>
          <w:tcPr>
            <w:tcW w:w="5130" w:type="dxa"/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1A3BB" w14:textId="77777777" w:rsidR="005E2B5A" w:rsidRDefault="00000000">
            <w:pPr>
              <w:spacing w:line="240" w:lineRule="auto"/>
            </w:pPr>
            <w:r>
              <w:rPr>
                <w:b/>
                <w:sz w:val="15"/>
              </w:rPr>
              <w:t xml:space="preserve">Estimator-specific </w:t>
            </w:r>
            <w:r>
              <w:rPr>
                <w:b/>
                <w:sz w:val="15"/>
              </w:rPr>
              <w:t>假设</w:t>
            </w:r>
          </w:p>
          <w:p w14:paraId="2062F91A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Common embedding support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>对于可比较的</w:t>
            </w:r>
            <w:r>
              <w:rPr>
                <w:sz w:val="14"/>
              </w:rPr>
              <w:t xml:space="preserve"> X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 xml:space="preserve">agent action embedding </w:t>
            </w:r>
            <w:r>
              <w:rPr>
                <w:sz w:val="14"/>
              </w:rPr>
              <w:t>落在</w:t>
            </w:r>
            <w:r>
              <w:rPr>
                <w:sz w:val="14"/>
              </w:rPr>
              <w:t xml:space="preserve"> clinician </w:t>
            </w:r>
            <w:r>
              <w:rPr>
                <w:sz w:val="14"/>
              </w:rPr>
              <w:t>覆盖区域内。</w:t>
            </w:r>
          </w:p>
          <w:p w14:paraId="0FFB2ED1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MIPS no direct effect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 xml:space="preserve">action </w:t>
            </w:r>
            <w:r>
              <w:rPr>
                <w:sz w:val="14"/>
              </w:rPr>
              <w:t>对</w:t>
            </w:r>
            <w:r>
              <w:rPr>
                <w:sz w:val="14"/>
              </w:rPr>
              <w:t xml:space="preserve"> Y </w:t>
            </w:r>
            <w:r>
              <w:rPr>
                <w:sz w:val="14"/>
              </w:rPr>
              <w:t>的影响由</w:t>
            </w:r>
            <w:r>
              <w:rPr>
                <w:sz w:val="14"/>
              </w:rPr>
              <w:t xml:space="preserve"> phi(A) </w:t>
            </w:r>
            <w:r>
              <w:rPr>
                <w:sz w:val="14"/>
              </w:rPr>
              <w:t>中介。</w:t>
            </w:r>
          </w:p>
          <w:p w14:paraId="323FCFA2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OffCEM local correctness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 xml:space="preserve">residual model </w:t>
            </w:r>
            <w:r>
              <w:rPr>
                <w:sz w:val="14"/>
              </w:rPr>
              <w:t>能捕捉</w:t>
            </w:r>
            <w:r>
              <w:rPr>
                <w:sz w:val="14"/>
              </w:rPr>
              <w:t xml:space="preserve"> cluster </w:t>
            </w:r>
            <w:r>
              <w:rPr>
                <w:sz w:val="14"/>
              </w:rPr>
              <w:t>内语言差异。</w:t>
            </w:r>
          </w:p>
          <w:p w14:paraId="550D4D2C" w14:textId="77777777" w:rsidR="005E2B5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Rubric validity</w:t>
            </w:r>
            <w:r>
              <w:rPr>
                <w:b/>
                <w:sz w:val="14"/>
              </w:rPr>
              <w:t>：</w:t>
            </w:r>
            <w:r>
              <w:rPr>
                <w:sz w:val="14"/>
              </w:rPr>
              <w:t xml:space="preserve">Y </w:t>
            </w:r>
            <w:r>
              <w:rPr>
                <w:sz w:val="14"/>
              </w:rPr>
              <w:t>是临床输出质量的</w:t>
            </w:r>
            <w:r>
              <w:rPr>
                <w:sz w:val="14"/>
              </w:rPr>
              <w:t xml:space="preserve"> surrogate measure</w:t>
            </w:r>
            <w:r>
              <w:rPr>
                <w:sz w:val="14"/>
              </w:rPr>
              <w:t>，不是</w:t>
            </w:r>
            <w:r>
              <w:rPr>
                <w:sz w:val="14"/>
              </w:rPr>
              <w:t xml:space="preserve"> validated patient outcome</w:t>
            </w:r>
            <w:r>
              <w:rPr>
                <w:sz w:val="14"/>
              </w:rPr>
              <w:t>。</w:t>
            </w:r>
          </w:p>
        </w:tc>
      </w:tr>
    </w:tbl>
    <w:p w14:paraId="6035F35B" w14:textId="77777777" w:rsidR="005E2B5A" w:rsidRDefault="00000000">
      <w:pPr>
        <w:spacing w:before="100" w:line="240" w:lineRule="auto"/>
      </w:pPr>
      <w:r>
        <w:rPr>
          <w:b/>
          <w:color w:val="000000"/>
          <w:sz w:val="20"/>
        </w:rPr>
        <w:t>Scope Decision</w:t>
      </w:r>
    </w:p>
    <w:p w14:paraId="10C5E46B" w14:textId="77777777" w:rsidR="005E2B5A" w:rsidRDefault="00000000">
      <w:pPr>
        <w:spacing w:after="20" w:line="250" w:lineRule="auto"/>
      </w:pPr>
      <w:r>
        <w:t xml:space="preserve">Exact sequence-level IPS </w:t>
      </w:r>
      <w:r>
        <w:t>不可行，因为</w:t>
      </w:r>
      <w:r>
        <w:t xml:space="preserve"> free-form language actions </w:t>
      </w:r>
      <w:r>
        <w:t>几乎没有</w:t>
      </w:r>
      <w:r>
        <w:t xml:space="preserve"> exact overlap</w:t>
      </w:r>
      <w:r>
        <w:t>，且</w:t>
      </w:r>
      <w:r>
        <w:t xml:space="preserve"> clinician behavior policy </w:t>
      </w:r>
      <w:r>
        <w:t>未知。因此</w:t>
      </w:r>
      <w:r>
        <w:t xml:space="preserve"> v1 benchmark </w:t>
      </w:r>
      <w:r>
        <w:t>评估</w:t>
      </w:r>
      <w:r>
        <w:t xml:space="preserve"> final-output replacement</w:t>
      </w:r>
      <w:r>
        <w:t>，并使用</w:t>
      </w:r>
      <w:r>
        <w:t xml:space="preserve"> embedding-space OPE </w:t>
      </w:r>
      <w:r>
        <w:t>与</w:t>
      </w:r>
      <w:r>
        <w:t xml:space="preserve"> OffCEM-style robustness checks</w:t>
      </w:r>
      <w:r>
        <w:t>；完整</w:t>
      </w:r>
      <w:r>
        <w:t xml:space="preserve"> multi-turn dialogue-policy evaluation </w:t>
      </w:r>
      <w:r>
        <w:t>留作未来工作。</w:t>
      </w:r>
    </w:p>
    <w:p w14:paraId="12D8A81A" w14:textId="77777777" w:rsidR="005E2B5A" w:rsidRDefault="00000000">
      <w:pPr>
        <w:spacing w:before="20" w:after="0" w:line="240" w:lineRule="auto"/>
      </w:pPr>
      <w:r>
        <w:rPr>
          <w:i/>
          <w:color w:val="4B5563"/>
          <w:sz w:val="14"/>
        </w:rPr>
        <w:t xml:space="preserve">Onboarding Phase 1 </w:t>
      </w:r>
      <w:r>
        <w:rPr>
          <w:i/>
          <w:color w:val="4B5563"/>
          <w:sz w:val="14"/>
        </w:rPr>
        <w:t>交付物：一页</w:t>
      </w:r>
      <w:r>
        <w:rPr>
          <w:i/>
          <w:color w:val="4B5563"/>
          <w:sz w:val="14"/>
        </w:rPr>
        <w:t xml:space="preserve"> problem statement</w:t>
      </w:r>
      <w:r>
        <w:rPr>
          <w:i/>
          <w:color w:val="4B5563"/>
          <w:sz w:val="14"/>
        </w:rPr>
        <w:t>，包含</w:t>
      </w:r>
      <w:r>
        <w:rPr>
          <w:i/>
          <w:color w:val="4B5563"/>
          <w:sz w:val="14"/>
        </w:rPr>
        <w:t xml:space="preserve"> estimand</w:t>
      </w:r>
      <w:r>
        <w:rPr>
          <w:i/>
          <w:color w:val="4B5563"/>
          <w:sz w:val="14"/>
        </w:rPr>
        <w:t>、</w:t>
      </w:r>
      <w:r>
        <w:rPr>
          <w:i/>
          <w:color w:val="4B5563"/>
          <w:sz w:val="14"/>
        </w:rPr>
        <w:t xml:space="preserve">assumptions </w:t>
      </w:r>
      <w:r>
        <w:rPr>
          <w:i/>
          <w:color w:val="4B5563"/>
          <w:sz w:val="14"/>
        </w:rPr>
        <w:t>和</w:t>
      </w:r>
      <w:r>
        <w:rPr>
          <w:i/>
          <w:color w:val="4B5563"/>
          <w:sz w:val="14"/>
        </w:rPr>
        <w:t xml:space="preserve"> notation table</w:t>
      </w:r>
      <w:r>
        <w:rPr>
          <w:i/>
          <w:color w:val="4B5563"/>
          <w:sz w:val="14"/>
        </w:rPr>
        <w:t>。</w:t>
      </w:r>
    </w:p>
    <w:sectPr w:rsidR="005E2B5A" w:rsidSect="00034616">
      <w:pgSz w:w="12240" w:h="15840"/>
      <w:pgMar w:top="619" w:right="648" w:bottom="619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492994">
    <w:abstractNumId w:val="8"/>
  </w:num>
  <w:num w:numId="2" w16cid:durableId="1076588643">
    <w:abstractNumId w:val="6"/>
  </w:num>
  <w:num w:numId="3" w16cid:durableId="2026441900">
    <w:abstractNumId w:val="5"/>
  </w:num>
  <w:num w:numId="4" w16cid:durableId="1757096261">
    <w:abstractNumId w:val="4"/>
  </w:num>
  <w:num w:numId="5" w16cid:durableId="1105999522">
    <w:abstractNumId w:val="7"/>
  </w:num>
  <w:num w:numId="6" w16cid:durableId="1733844875">
    <w:abstractNumId w:val="3"/>
  </w:num>
  <w:num w:numId="7" w16cid:durableId="1154613717">
    <w:abstractNumId w:val="2"/>
  </w:num>
  <w:num w:numId="8" w16cid:durableId="549193521">
    <w:abstractNumId w:val="1"/>
  </w:num>
  <w:num w:numId="9" w16cid:durableId="150721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E20"/>
    <w:rsid w:val="005E2B5A"/>
    <w:rsid w:val="00906763"/>
    <w:rsid w:val="00AA1D8D"/>
    <w:rsid w:val="00B47730"/>
    <w:rsid w:val="00C415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0A654"/>
  <w14:defaultImageDpi w14:val="300"/>
  <w15:docId w15:val="{FC3F94DF-EFA5-E444-983C-0771DC8D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eastAsia="PingFang SC" w:hAnsi="Arial"/>
      <w:color w:val="111827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 Wei</cp:lastModifiedBy>
  <cp:revision>3</cp:revision>
  <dcterms:created xsi:type="dcterms:W3CDTF">2013-12-23T23:15:00Z</dcterms:created>
  <dcterms:modified xsi:type="dcterms:W3CDTF">2026-05-22T05:02:00Z</dcterms:modified>
  <cp:category/>
</cp:coreProperties>
</file>