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B3D66"/>
          <w:sz w:val="60"/>
          <w:szCs w:val="60"/>
        </w:rPr>
        <w:t xml:space="preserve">STING Title Block System</w:t>
      </w:r>
    </w:p>
    <w:p>
      <w:pPr>
        <w:spacing w:after="600"/>
        <w:jc w:val="center"/>
      </w:pPr>
      <w:r>
        <w:rPr>
          <w:color w:val="666666"/>
          <w:sz w:val="32"/>
          <w:szCs w:val="32"/>
        </w:rPr>
        <w:t xml:space="preserve">Specification and implementation guide</w:t>
      </w:r>
    </w:p>
    <w:p>
      <w:pPr>
        <w:jc w:val="center"/>
      </w:pPr>
      <w:r>
        <w:rPr>
          <w:sz w:val="28"/>
          <w:szCs w:val="28"/>
        </w:rPr>
        <w:t xml:space="preserve">Version 1.0</w:t>
      </w:r>
    </w:p>
    <w:p>
      <w:pPr>
        <w:spacing w:after="1200"/>
        <w:jc w:val="center"/>
      </w:pPr>
      <w:r>
        <w:rPr>
          <w:color w:val="666666"/>
          <w:sz w:val="24"/>
          <w:szCs w:val="24"/>
        </w:rPr>
        <w:t xml:space="preserve">Issued: 2026-04-19</w:t>
      </w:r>
    </w:p>
    <w:p>
      <w:pPr>
        <w:spacing w:after="3600"/>
        <w:jc w:val="center"/>
      </w:pPr>
      <w:r>
        <w:rPr>
          <w:i/>
          <w:iCs/>
          <w:color w:val="666666"/>
          <w:sz w:val="22"/>
          <w:szCs w:val="22"/>
        </w:rPr>
        <w:t xml:space="preserve">Six variants covering A0, A1 and A3 landscape paper, each with right-strip and bottom-strip reading layouts. Compliant with BS EN ISO 19650-2:2018 and Uganda NBC.</w:t>
      </w:r>
    </w:p>
    <w:p>
      <w:pPr>
        <w:jc w:val="center"/>
      </w:pPr>
      <w:r>
        <w:rPr>
          <w:sz w:val="20"/>
          <w:szCs w:val="20"/>
        </w:rPr>
        <w:t xml:space="preserve">Author</w:t>
      </w:r>
    </w:p>
    <w:p>
      <w:pPr>
        <w:pStyle w:val="Heading1"/>
        <w:pageBreakBefore/>
        <w:spacing w:after="180" w:before="360"/>
      </w:pPr>
      <w:r>
        <w:t xml:space="preserve">1. Overview</w:t>
      </w:r>
    </w:p>
    <w:p>
      <w:pPr>
        <w:pStyle w:val="Heading2"/>
        <w:spacing w:after="120" w:before="240"/>
      </w:pPr>
      <w:r>
        <w:t xml:space="preserve">1.1 Purpose</w:t>
      </w:r>
    </w:p>
    <w:p>
      <w:pPr>
        <w:spacing w:after="60" w:before="60" w:line="300"/>
      </w:pPr>
      <w:r>
        <w:rPr>
          <w:sz w:val="22"/>
          <w:szCs w:val="22"/>
        </w:rPr>
        <w:t xml:space="preserve">This specification defines the STING title block system: a set of Revit title block families and a supporting pyRevit toolchain that together produce ISO 19650-compliant drawing sheets for the Ugandan construction market. The system replaces ad-hoc title blocks with a consistent, data-driven set of six variants.</w:t>
      </w:r>
    </w:p>
    <w:p>
      <w:pPr>
        <w:pStyle w:val="Heading2"/>
        <w:spacing w:after="120" w:before="240"/>
      </w:pPr>
      <w:r>
        <w:t xml:space="preserve">1.2 Scope</w:t>
      </w:r>
    </w:p>
    <w:p>
      <w:pPr>
        <w:spacing w:after="60" w:before="60" w:line="300"/>
      </w:pPr>
      <w:r>
        <w:rPr>
          <w:sz w:val="22"/>
          <w:szCs w:val="22"/>
        </w:rPr>
        <w:t xml:space="preserve">The specification covers:</w:t>
      </w:r>
    </w:p>
    <w:p>
      <w:pPr>
        <w:pStyle w:val="ListParagraph"/>
        <w:numPr>
          <w:ilvl w:val="0"/>
          <w:numId w:val="2"/>
        </w:numPr>
        <w:spacing w:after="40" w:before="40"/>
      </w:pPr>
      <w:r>
        <w:rPr>
          <w:sz w:val="22"/>
          <w:szCs w:val="22"/>
        </w:rPr>
        <w:t xml:space="preserve">Six title block variants: A0-R, A0-B, A1-R, A1-B, A3-R, A3-B</w:t>
      </w:r>
    </w:p>
    <w:p>
      <w:pPr>
        <w:pStyle w:val="ListParagraph"/>
        <w:numPr>
          <w:ilvl w:val="0"/>
          <w:numId w:val="2"/>
        </w:numPr>
        <w:spacing w:after="40" w:before="40"/>
      </w:pPr>
      <w:r>
        <w:rPr>
          <w:sz w:val="22"/>
          <w:szCs w:val="22"/>
        </w:rPr>
        <w:t xml:space="preserve">Thirteen content bands per variant with discipline-switchable notes</w:t>
      </w:r>
    </w:p>
    <w:p>
      <w:pPr>
        <w:pStyle w:val="ListParagraph"/>
        <w:numPr>
          <w:ilvl w:val="0"/>
          <w:numId w:val="2"/>
        </w:numPr>
        <w:spacing w:after="40" w:before="40"/>
      </w:pPr>
      <w:r>
        <w:rPr>
          <w:sz w:val="22"/>
          <w:szCs w:val="22"/>
        </w:rPr>
        <w:t xml:space="preserve">Nineteen new shared parameters and integration with the existing PRJ_TB_* set</w:t>
      </w:r>
    </w:p>
    <w:p>
      <w:pPr>
        <w:pStyle w:val="ListParagraph"/>
        <w:numPr>
          <w:ilvl w:val="0"/>
          <w:numId w:val="2"/>
        </w:numPr>
        <w:spacing w:after="40" w:before="40"/>
      </w:pPr>
      <w:r>
        <w:rPr>
          <w:sz w:val="22"/>
          <w:szCs w:val="22"/>
        </w:rPr>
        <w:t xml:space="preserve">Family Editor build procedure</w:t>
      </w:r>
    </w:p>
    <w:p>
      <w:pPr>
        <w:pStyle w:val="ListParagraph"/>
        <w:numPr>
          <w:ilvl w:val="0"/>
          <w:numId w:val="2"/>
        </w:numPr>
        <w:spacing w:after="40" w:before="40"/>
      </w:pPr>
      <w:r>
        <w:rPr>
          <w:sz w:val="22"/>
          <w:szCs w:val="22"/>
        </w:rPr>
        <w:t xml:space="preserve">Discipline legend CSV schema for nine disciplines</w:t>
      </w:r>
    </w:p>
    <w:p>
      <w:pPr>
        <w:pStyle w:val="ListParagraph"/>
        <w:numPr>
          <w:ilvl w:val="0"/>
          <w:numId w:val="2"/>
        </w:numPr>
        <w:spacing w:after="40" w:before="40"/>
      </w:pPr>
      <w:r>
        <w:rPr>
          <w:sz w:val="22"/>
          <w:szCs w:val="22"/>
        </w:rPr>
        <w:t xml:space="preserve">Eight high-priority automation gaps to be implemented in StingTools</w:t>
      </w:r>
    </w:p>
    <w:p>
      <w:pPr>
        <w:pStyle w:val="ListParagraph"/>
        <w:numPr>
          <w:ilvl w:val="0"/>
          <w:numId w:val="2"/>
        </w:numPr>
        <w:spacing w:after="40" w:before="40"/>
      </w:pPr>
      <w:r>
        <w:rPr>
          <w:sz w:val="22"/>
          <w:szCs w:val="22"/>
        </w:rPr>
        <w:t xml:space="preserve">Cross-reference to BCC DeliverableRow for auto-populated Issues/Submissions data</w:t>
      </w:r>
    </w:p>
    <w:p>
      <w:pPr>
        <w:pStyle w:val="Heading2"/>
        <w:spacing w:after="120" w:before="240"/>
      </w:pPr>
      <w:r>
        <w:t xml:space="preserve">1.3 Paper convention</w:t>
      </w:r>
    </w:p>
    <w:p>
      <w:pPr>
        <w:spacing w:after="60" w:before="60" w:line="300"/>
      </w:pPr>
      <w:r>
        <w:rPr>
          <w:sz w:val="22"/>
          <w:szCs w:val="22"/>
        </w:rPr>
        <w:t xml:space="preserve">All six variants use landscape paper. The title block strip position determines the intended reading direction, but text always reads horizontally with no sheet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rPr>
          <w:tblHeader/>
        </w:trPr>
        <w:tc>
          <w:tcPr>
            <w:tcW w:type="dxa" w:w="12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Variant</w:t>
            </w:r>
          </w:p>
        </w:tc>
        <w:tc>
          <w:tcPr>
            <w:tcW w:type="dxa" w:w="15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Paper size</w:t>
            </w:r>
          </w:p>
        </w:tc>
        <w:tc>
          <w:tcPr>
            <w:tcW w:type="dxa" w:w="20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Strip position</w:t>
            </w:r>
          </w:p>
        </w:tc>
        <w:tc>
          <w:tcPr>
            <w:tcW w:type="dxa" w:w="466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Typical use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A0-R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1189 × 841 mm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Right vertical</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Plans, elevations, sections at full-size detail</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A0-B</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1189 × 841 mm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Bottom horizontal</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Overall site plans, long sections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A1-R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841 × 594 mm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Right vertical</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Default working drawings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A1-B</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841 × 594 mm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Bottom horizontal</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Wide layouts, site plans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A3-R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420 × 297 mm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Right vertical</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Details, schedules, 1:100 studies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A3-B</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420 × 297 mm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Bottom horizontal</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A3 cover sheets, brief narratives</w:t>
            </w:r>
          </w:p>
        </w:tc>
      </w:tr>
    </w:tbl>
    <w:p>
      <w:pPr>
        <w:pStyle w:val="Heading2"/>
        <w:spacing w:after="120" w:before="240"/>
      </w:pPr>
      <w:r>
        <w:t xml:space="preserve">1.4 Constraints verified during design</w:t>
      </w:r>
    </w:p>
    <w:p>
      <w:pPr>
        <w:pStyle w:val="ListParagraph"/>
        <w:numPr>
          <w:ilvl w:val="0"/>
          <w:numId w:val="2"/>
        </w:numPr>
        <w:spacing w:after="40" w:before="40"/>
      </w:pPr>
      <w:r>
        <w:rPr>
          <w:sz w:val="22"/>
          <w:szCs w:val="22"/>
        </w:rPr>
        <w:t xml:space="preserve">FamilyLabel is not an exposed Revit API type. Edit Label configuration must be done in the Family Editor manually or via a pyRevit script.</w:t>
      </w:r>
    </w:p>
    <w:p>
      <w:pPr>
        <w:pStyle w:val="ListParagraph"/>
        <w:numPr>
          <w:ilvl w:val="0"/>
          <w:numId w:val="2"/>
        </w:numPr>
        <w:spacing w:after="40" w:before="40"/>
      </w:pPr>
      <w:r>
        <w:rPr>
          <w:sz w:val="22"/>
          <w:szCs w:val="22"/>
        </w:rPr>
        <w:t xml:space="preserve">Revit shared parameter files require UTF-16 LE with BOM (FF FE) and Windows CRLF line endings. The Claude Code runner must preserve this encoding.</w:t>
      </w:r>
    </w:p>
    <w:p>
      <w:pPr>
        <w:pStyle w:val="ListParagraph"/>
        <w:numPr>
          <w:ilvl w:val="0"/>
          <w:numId w:val="2"/>
        </w:numPr>
        <w:spacing w:after="40" w:before="40"/>
      </w:pPr>
      <w:r>
        <w:rPr>
          <w:sz w:val="22"/>
          <w:szCs w:val="22"/>
        </w:rPr>
        <w:t xml:space="preserve">Tag and title block families are lightweight wrappers. Data parameters (e.g. BLE_CEILING_HEIGHT_MM) live in the project environment bound to element categories, not inside the family files.</w:t>
      </w:r>
    </w:p>
    <w:p>
      <w:pPr>
        <w:pStyle w:val="ListParagraph"/>
        <w:numPr>
          <w:ilvl w:val="0"/>
          <w:numId w:val="2"/>
        </w:numPr>
        <w:spacing w:after="40" w:before="40"/>
      </w:pPr>
      <w:r>
        <w:rPr>
          <w:sz w:val="22"/>
          <w:szCs w:val="22"/>
        </w:rPr>
        <w:t xml:space="preserve">ISO 19650 assembled document code reaches a maximum of 37 characters. All six title blocks size the sheet-number box to accommodate this worst case.</w:t>
      </w:r>
    </w:p>
    <w:p>
      <w:pPr>
        <w:pStyle w:val="ListParagraph"/>
        <w:numPr>
          <w:ilvl w:val="0"/>
          <w:numId w:val="2"/>
        </w:numPr>
        <w:spacing w:after="40" w:before="40"/>
      </w:pPr>
      <w:r>
        <w:rPr>
          <w:sz w:val="22"/>
          <w:szCs w:val="22"/>
        </w:rPr>
        <w:t xml:space="preserve">On A3-B, a 37-character code renders at approximately 4.4 mm type. Projects using A3-B should constrain ISO codes to 26 characters or less.</w:t>
      </w:r>
    </w:p>
    <w:p>
      <w:pPr>
        <w:pStyle w:val="Heading1"/>
        <w:pageBreakBefore/>
        <w:spacing w:after="180" w:before="360"/>
      </w:pPr>
      <w:r>
        <w:t xml:space="preserve">2. The 13 content bands</w:t>
      </w:r>
    </w:p>
    <w:p>
      <w:pPr>
        <w:spacing w:after="60" w:before="60" w:line="300"/>
      </w:pPr>
      <w:r>
        <w:rPr>
          <w:sz w:val="22"/>
          <w:szCs w:val="22"/>
        </w:rPr>
        <w:t xml:space="preserve">Each title block contains the same 13 content bands. Their physical dimensions vary by sheet size, but their function is identical across all six variants. This consistency is what allows StingTools to populate any variant with one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500"/>
        <w:gridCol w:w="4860"/>
      </w:tblGrid>
      <w:tr>
        <w:trPr>
          <w:tblHeader/>
        </w:trPr>
        <w:tc>
          <w:tcPr>
            <w:tcW w:type="dxa" w:w="6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w:t>
            </w:r>
          </w:p>
        </w:tc>
        <w:tc>
          <w:tcPr>
            <w:tcW w:type="dxa" w:w="24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Band</w:t>
            </w:r>
          </w:p>
        </w:tc>
        <w:tc>
          <w:tcPr>
            <w:tcW w:type="dxa" w:w="15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A1 size</w:t>
            </w:r>
          </w:p>
        </w:tc>
        <w:tc>
          <w:tcPr>
            <w:tcW w:type="dxa" w:w="486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Source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Company header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200 × 38 mm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Static graphic + PRJ_TB_LOGO_PATH_TXT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Discipline band</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200 × 8 mm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Auto-coloured from SHT_DISC_TXT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General notes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200 × 56 mm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Legend view placeholder (Option C)</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4</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Symbols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200 × 56 mm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Legend view placeholder (Option C)</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5</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Revisions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200 × 60 mm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Revit native Sheet Issues/Revisions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6</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Issues/Submissions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200 × 44 mm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Auto-populated from BCC DeliverableRow</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7</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Client &amp; project team</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200 × 62 mm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 client/team parameters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8</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Drawing title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200 × 28 mm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Revit SHEET_NAME + SHT_TAG_1_TXT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9</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Approvals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200 × 50 mm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PRJ_TB_DRAWN_BY / CHECKED_BY / APVD_BY</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Drawing data</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200 × 30 mm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Revit SCALE + PRJ_TB_SCALE_OVERRIDE_TXT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11</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Sheet identifier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200 × 52 mm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Revit SHEET_NUMBER + SHT_TAG_1_TXT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12</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Drawing status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200 × 40 mm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PRJ_DWG_SUITABILITY_COD_TXT stamp</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Confidentiality</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200 × 26 mm</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Static text</w:t>
            </w:r>
          </w:p>
        </w:tc>
      </w:tr>
    </w:tbl>
    <w:p>
      <w:pPr>
        <w:pStyle w:val="Heading2"/>
        <w:spacing w:after="120" w:before="240"/>
      </w:pPr>
      <w:r>
        <w:t xml:space="preserve">2.1 Sheet identifier band — bottom-right on B-strip variants</w:t>
      </w:r>
    </w:p>
    <w:p>
      <w:pPr>
        <w:spacing w:after="60" w:before="60" w:line="300"/>
      </w:pPr>
      <w:r>
        <w:rPr>
          <w:sz w:val="22"/>
          <w:szCs w:val="22"/>
        </w:rPr>
        <w:t xml:space="preserve">On B-strip variants (A0-B, A1-B, A3-B), band 11 occupies the bottom-right of the strip, spanning columns 4 and 5. This position gives horizontal space for the long ISO 19650 assembled code while keeping the sheet number visually dominant. Dimensions per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500"/>
        <w:gridCol w:w="3060"/>
      </w:tblGrid>
      <w:tr>
        <w:trPr>
          <w:tblHeader/>
        </w:trPr>
        <w:tc>
          <w:tcPr>
            <w:tcW w:type="dxa" w:w="12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Variant</w:t>
            </w:r>
          </w:p>
        </w:tc>
        <w:tc>
          <w:tcPr>
            <w:tcW w:type="dxa" w:w="26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Band 11 position on strip</w:t>
            </w:r>
          </w:p>
        </w:tc>
        <w:tc>
          <w:tcPr>
            <w:tcW w:type="dxa" w:w="25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Physical size</w:t>
            </w:r>
          </w:p>
        </w:tc>
        <w:tc>
          <w:tcPr>
            <w:tcW w:type="dxa" w:w="306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Max ISO code font</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A0-R</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Bottom of right strip</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280 × 65 mm</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~16 mm</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A0-B</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Bottom-right (cols 4+5)</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340 × 65 mm</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~14 mm</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A1-R</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Bottom of right strip</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200 × 40 mm</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~9 mm</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A1-B</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Bottom-right (cols 4+5)</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231 × 49 mm</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~10 mm</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A3-R</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Bottom of right strip</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120 × 28 mm</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~4.5 mm</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A3-B</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Bottom-right (cols 4+5)</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118 × 30 mm</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~4.4 mm</w:t>
            </w:r>
          </w:p>
        </w:tc>
      </w:tr>
    </w:tbl>
    <w:p>
      <w:pPr>
        <w:spacing w:after="80" w:before="40"/>
      </w:pPr>
      <w:r>
        <w:rPr>
          <w:i/>
          <w:iCs/>
          <w:color w:val="666666"/>
          <w:sz w:val="20"/>
          <w:szCs w:val="20"/>
        </w:rPr>
        <w:t xml:space="preserve">Sheet number itself (typically 6 to 12 characters like SD-A-001 or C-ELE-0042) renders two to three times larger than the max ISO code. The ISO code is the sizing constraint because it must fit at worst-case 37 characters.</w:t>
      </w:r>
    </w:p>
    <w:p>
      <w:pPr>
        <w:pStyle w:val="Heading1"/>
        <w:pageBreakBefore/>
        <w:spacing w:after="180" w:before="360"/>
      </w:pPr>
      <w:r>
        <w:t xml:space="preserve">3. Discipline switching (Option C)</w:t>
      </w:r>
    </w:p>
    <w:p>
      <w:pPr>
        <w:pStyle w:val="Heading2"/>
        <w:spacing w:after="120" w:before="240"/>
      </w:pPr>
      <w:r>
        <w:t xml:space="preserve">3.1 Decision rationale</w:t>
      </w:r>
    </w:p>
    <w:p>
      <w:pPr>
        <w:spacing w:after="60" w:before="60" w:line="300"/>
      </w:pPr>
      <w:r>
        <w:rPr>
          <w:sz w:val="22"/>
          <w:szCs w:val="22"/>
        </w:rPr>
        <w:t xml:space="preserve">Three approaches were considered for making general notes switch by discipline: family types per discipline, visibility parameters per discipline, and legend views placed by StingTools. The third approach was chosen because:</w:t>
      </w:r>
    </w:p>
    <w:p>
      <w:pPr>
        <w:pStyle w:val="ListParagraph"/>
        <w:numPr>
          <w:ilvl w:val="0"/>
          <w:numId w:val="2"/>
        </w:numPr>
        <w:spacing w:after="40" w:before="40"/>
      </w:pPr>
      <w:r>
        <w:rPr>
          <w:sz w:val="22"/>
          <w:szCs w:val="22"/>
        </w:rPr>
        <w:t xml:space="preserve">Notes live in legend views, editable with the same skills as any drafting content — no Family Editor access required.</w:t>
      </w:r>
    </w:p>
    <w:p>
      <w:pPr>
        <w:pStyle w:val="ListParagraph"/>
        <w:numPr>
          <w:ilvl w:val="0"/>
          <w:numId w:val="2"/>
        </w:numPr>
        <w:spacing w:after="40" w:before="40"/>
      </w:pPr>
      <w:r>
        <w:rPr>
          <w:sz w:val="22"/>
          <w:szCs w:val="22"/>
        </w:rPr>
        <w:t xml:space="preserve">One edit propagates to every sheet that places the legend.</w:t>
      </w:r>
    </w:p>
    <w:p>
      <w:pPr>
        <w:pStyle w:val="ListParagraph"/>
        <w:numPr>
          <w:ilvl w:val="0"/>
          <w:numId w:val="2"/>
        </w:numPr>
        <w:spacing w:after="40" w:before="40"/>
      </w:pPr>
      <w:r>
        <w:rPr>
          <w:sz w:val="22"/>
          <w:szCs w:val="22"/>
        </w:rPr>
        <w:t xml:space="preserve">Legend views support tables, filled regions, symbols, and keynotes that are awkward or impossible inside a title block family.</w:t>
      </w:r>
    </w:p>
    <w:p>
      <w:pPr>
        <w:pStyle w:val="ListParagraph"/>
        <w:numPr>
          <w:ilvl w:val="0"/>
          <w:numId w:val="2"/>
        </w:numPr>
        <w:spacing w:after="40" w:before="40"/>
      </w:pPr>
      <w:r>
        <w:rPr>
          <w:sz w:val="22"/>
          <w:szCs w:val="22"/>
        </w:rPr>
        <w:t xml:space="preserve">Family file size stays small; no bloat from nine sets of embedded notes.</w:t>
      </w:r>
    </w:p>
    <w:p>
      <w:pPr>
        <w:pStyle w:val="ListParagraph"/>
        <w:numPr>
          <w:ilvl w:val="0"/>
          <w:numId w:val="2"/>
        </w:numPr>
        <w:spacing w:after="40" w:before="40"/>
      </w:pPr>
      <w:r>
        <w:rPr>
          <w:sz w:val="22"/>
          <w:szCs w:val="22"/>
        </w:rPr>
        <w:t xml:space="preserve">New disciplines can be added by creating new legend views without touching the title block families.</w:t>
      </w:r>
    </w:p>
    <w:p>
      <w:pPr>
        <w:pStyle w:val="Heading2"/>
        <w:spacing w:after="120" w:before="240"/>
      </w:pPr>
      <w:r>
        <w:t xml:space="preserve">3.2 Legend view naming convention</w:t>
      </w:r>
    </w:p>
    <w:p>
      <w:pPr>
        <w:spacing w:after="60" w:before="60" w:line="300"/>
      </w:pPr>
      <w:r>
        <w:rPr>
          <w:sz w:val="22"/>
          <w:szCs w:val="22"/>
        </w:rPr>
        <w:t xml:space="preserve">Legend views follow a strict naming pattern so the DisciplineLegendBind command can locate them programmatically:</w:t>
      </w:r>
    </w:p>
    <w:p>
      <w:pPr>
        <w:shd w:fill="F4F6F8" w:color="auto" w:val="clear"/>
        <w:spacing w:after="40" w:before="40"/>
      </w:pPr>
      <w:r>
        <w:rPr>
          <w:rFonts w:ascii="Consolas" w:cs="Consolas" w:eastAsia="Consolas" w:hAnsi="Consolas"/>
          <w:sz w:val="18"/>
          <w:szCs w:val="18"/>
        </w:rPr>
        <w:t xml:space="preserve">LGD-{DISCIPLINE}-NOTES     Example: LGD-ARCH-NOTES</w:t>
      </w:r>
    </w:p>
    <w:p>
      <w:pPr>
        <w:shd w:fill="F4F6F8" w:color="auto" w:val="clear"/>
        <w:spacing w:after="40" w:before="40"/>
      </w:pPr>
      <w:r>
        <w:rPr>
          <w:rFonts w:ascii="Consolas" w:cs="Consolas" w:eastAsia="Consolas" w:hAnsi="Consolas"/>
          <w:sz w:val="18"/>
          <w:szCs w:val="18"/>
        </w:rPr>
        <w:t xml:space="preserve">LGD-{DISCIPLINE}-SYMBOLS   Example: LGD-ARCH-SYMBOLS</w:t>
      </w:r>
    </w:p>
    <w:p>
      <w:pPr>
        <w:spacing w:after="60" w:before="60" w:line="300"/>
      </w:pPr>
      <w:r>
        <w:rPr>
          <w:sz w:val="22"/>
          <w:szCs w:val="22"/>
        </w:rPr>
        <w:t xml:space="preserve">Nine discipline codes are supported: ARCH, STR, MEP, ELE, PLM, FP, LV, COORD, GEN. Each discipline may have either or both of NOTES and SYMBOLS legend views.</w:t>
      </w:r>
    </w:p>
    <w:p>
      <w:pPr>
        <w:pStyle w:val="Heading2"/>
        <w:spacing w:after="120" w:before="240"/>
      </w:pPr>
      <w:r>
        <w:t xml:space="preserve">3.3 DisciplineLegendBind command behaviour</w:t>
      </w:r>
    </w:p>
    <w:p>
      <w:pPr>
        <w:spacing w:after="60" w:before="60" w:line="300"/>
      </w:pPr>
      <w:r>
        <w:rPr>
          <w:sz w:val="22"/>
          <w:szCs w:val="22"/>
        </w:rPr>
        <w:t xml:space="preserve">When invoked, the command:</w:t>
      </w:r>
    </w:p>
    <w:p>
      <w:pPr>
        <w:pStyle w:val="ListParagraph"/>
        <w:numPr>
          <w:ilvl w:val="0"/>
          <w:numId w:val="2"/>
        </w:numPr>
        <w:spacing w:after="40" w:before="40"/>
      </w:pPr>
      <w:r>
        <w:rPr>
          <w:sz w:val="22"/>
          <w:szCs w:val="22"/>
        </w:rPr>
        <w:t xml:space="preserve">Reads SHT_DISC_TXT from each sheet in the active set.</w:t>
      </w:r>
    </w:p>
    <w:p>
      <w:pPr>
        <w:pStyle w:val="ListParagraph"/>
        <w:numPr>
          <w:ilvl w:val="0"/>
          <w:numId w:val="2"/>
        </w:numPr>
        <w:spacing w:after="40" w:before="40"/>
      </w:pPr>
      <w:r>
        <w:rPr>
          <w:sz w:val="22"/>
          <w:szCs w:val="22"/>
        </w:rPr>
        <w:t xml:space="preserve">Locates the matching LGD-{DISCIPLINE}-NOTES and LGD-{DISCIPLINE}-SYMBOLS legend views.</w:t>
      </w:r>
    </w:p>
    <w:p>
      <w:pPr>
        <w:pStyle w:val="ListParagraph"/>
        <w:numPr>
          <w:ilvl w:val="0"/>
          <w:numId w:val="2"/>
        </w:numPr>
        <w:spacing w:after="40" w:before="40"/>
      </w:pPr>
      <w:r>
        <w:rPr>
          <w:sz w:val="22"/>
          <w:szCs w:val="22"/>
        </w:rPr>
        <w:t xml:space="preserve">Places the matching legend view into the designated notes region of the title block, positioned at the StingTools-defined alignment point.</w:t>
      </w:r>
    </w:p>
    <w:p>
      <w:pPr>
        <w:pStyle w:val="ListParagraph"/>
        <w:numPr>
          <w:ilvl w:val="0"/>
          <w:numId w:val="2"/>
        </w:numPr>
        <w:spacing w:after="40" w:before="40"/>
      </w:pPr>
      <w:r>
        <w:rPr>
          <w:sz w:val="22"/>
          <w:szCs w:val="22"/>
        </w:rPr>
        <w:t xml:space="preserve">Writes the legend view name to PRJ_TB_NOTES_LEGEND_REF_TXT for audit.</w:t>
      </w:r>
    </w:p>
    <w:p>
      <w:pPr>
        <w:pStyle w:val="ListParagraph"/>
        <w:numPr>
          <w:ilvl w:val="0"/>
          <w:numId w:val="2"/>
        </w:numPr>
        <w:spacing w:after="40" w:before="40"/>
      </w:pPr>
      <w:r>
        <w:rPr>
          <w:sz w:val="22"/>
          <w:szCs w:val="22"/>
        </w:rPr>
        <w:t xml:space="preserve">Warns and skips sheets whose discipline has no matching legend view.</w:t>
      </w:r>
    </w:p>
    <w:p>
      <w:pPr>
        <w:pStyle w:val="Heading2"/>
        <w:spacing w:after="120" w:before="240"/>
      </w:pPr>
      <w:r>
        <w:t xml:space="preserve">3.4 Discipline legend CSV schema</w:t>
      </w:r>
    </w:p>
    <w:p>
      <w:pPr>
        <w:spacing w:after="60" w:before="60" w:line="300"/>
      </w:pPr>
      <w:r>
        <w:rPr>
          <w:sz w:val="22"/>
          <w:szCs w:val="22"/>
        </w:rPr>
        <w:t xml:space="preserve">The discipline-specific notes are stored in CSV files following the existing STING data-file pattern (discipline-split, UTF-8 BOM, CRLF). File path: TEMPLATES/DISCIPLINE_NOTES/{DISCIPLINE}.csv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5460"/>
      </w:tblGrid>
      <w:tr>
        <w:trPr>
          <w:tblHeader/>
        </w:trPr>
        <w:tc>
          <w:tcPr>
            <w:tcW w:type="dxa" w:w="18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Column</w:t>
            </w:r>
          </w:p>
        </w:tc>
        <w:tc>
          <w:tcPr>
            <w:tcW w:type="dxa" w:w="9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Type</w:t>
            </w:r>
          </w:p>
        </w:tc>
        <w:tc>
          <w:tcPr>
            <w:tcW w:type="dxa" w:w="12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Required</w:t>
            </w:r>
          </w:p>
        </w:tc>
        <w:tc>
          <w:tcPr>
            <w:tcW w:type="dxa" w:w="546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NoteNumber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Yes</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Sequential 1..N within the discipline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NoteText</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Yes</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The full note text. Carriage returns not permitted; use pipe for line breaks within a note.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AppliesTo</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No</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Optional scope: ALL (default), COVER, DETAILS, LAYOUT, SCHEDULE.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UgandaNBCRef</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No</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Reference to Uganda NBC clause, for compliance cross-ref.</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ISORef</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No</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Reference to ISO/BS/NFPA/Eurocode clause.</w:t>
            </w:r>
          </w:p>
        </w:tc>
      </w:tr>
    </w:tbl>
    <w:p>
      <w:pPr>
        <w:spacing w:after="80" w:before="40"/>
      </w:pPr>
      <w:r>
        <w:rPr>
          <w:i/>
          <w:iCs/>
          <w:color w:val="666666"/>
          <w:sz w:val="20"/>
          <w:szCs w:val="20"/>
        </w:rPr>
        <w:t xml:space="preserve">The CreateLegends command reads these CSVs and builds nine legend views from scratch on first run. Subsequent edits to the CSVs are re-applied when CreateLegends is run with the --refresh flag.</w:t>
      </w:r>
    </w:p>
    <w:p>
      <w:pPr>
        <w:pStyle w:val="Heading1"/>
        <w:pageBreakBefore/>
        <w:spacing w:after="180" w:before="360"/>
      </w:pPr>
      <w:r>
        <w:t xml:space="preserve">4. New parameters</w:t>
      </w:r>
    </w:p>
    <w:p>
      <w:pPr>
        <w:spacing w:after="60" w:before="60" w:line="300"/>
      </w:pPr>
      <w:r>
        <w:rPr>
          <w:sz w:val="22"/>
          <w:szCs w:val="22"/>
        </w:rPr>
        <w:t xml:space="preserve">Nineteen new parameters are added to MR_PARAMETERS.txt. All live under the PRJ_TB_* namespace and belong to group 9 (04 — Title Block). Existing PRJ_TB_* parameters remain unchanged.</w:t>
      </w:r>
    </w:p>
    <w:p>
      <w:pPr>
        <w:pStyle w:val="Heading2"/>
        <w:spacing w:after="120" w:before="240"/>
      </w:pPr>
      <w:r>
        <w:t xml:space="preserve">4.1 Parameter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5160"/>
      </w:tblGrid>
      <w:tr>
        <w:trPr>
          <w:tblHeader/>
        </w:trPr>
        <w:tc>
          <w:tcPr>
            <w:tcW w:type="dxa" w:w="34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Parameter</w:t>
            </w:r>
          </w:p>
        </w:tc>
        <w:tc>
          <w:tcPr>
            <w:tcW w:type="dxa" w:w="8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Type</w:t>
            </w:r>
          </w:p>
        </w:tc>
        <w:tc>
          <w:tcPr>
            <w:tcW w:type="dxa" w:w="516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Purpose</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PRJ_TB_VARIANT_TXT</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Title block variant code (A0-R, A0-B, etc.)</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PRJ_TB_SCHEMA_VERSION_TXT</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Family schema version for migration detection</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PRJ_TB_LOGO_PATH_TXT</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Project-specific logo path (overrides default)</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PRJ_TB_LAST_SYNC_TXT</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ISO 8601 timestamp of last TitleBlockPopulate run</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PRJ_TB_LAST_SYNC_BY_TXT</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Windows username of last sync</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PRJ_TB_LOCK_BOOL</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YESNO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Read-only flag. TitleBlockPopulate skips locked sheets</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PRJ_TB_SHOW_KEYPLAN_BOOL</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YESNO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Key plan visibility</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PRJ_TB_SHOW_SCALEBAR_BOOL</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YESNO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Scale bar visibility</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PRJ_TB_SHOW_NORTHARROW_BOOL</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YESNO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North arrow visibility</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PRJ_TB_SHOW_DISCBAND_BOOL</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YESNO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Discipline colour band visibility</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PRJ_TB_SCALE_OVERRIDE_TXT</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Manual scale override (e.g. AS SHOWN)</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PRJ_TB_ISSUE_SUMMARY_TXT</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Revision change description</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PRJ_TB_DELIVERABLE_DATADROP_TXT</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BCC DeliverableRow.DataDrop mirror</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PRJ_TB_DELIVERABLE_STATUS_TXT</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BCC DeliverableRow.Status mirror</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PRJ_TB_DELIVERABLE_DUE_TXT</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BCC DeliverableRow.DueDate mirror</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PRJ_TB_DELIVERABLE_CDE_TXT</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BCC DeliverableRow.CDE state mirror</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PRJ_TB_LAST_TRANSMITTAL_TXT</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Last transmittal number for this sheet</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PRJ_TB_LAST_TRANSMITTAL_DATE_TXT</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Date of last transmittal</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PRJ_TB_NOTES_LEGEND_REF_TXT</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TEXT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Current legend view name in notes region</w:t>
            </w:r>
          </w:p>
        </w:tc>
      </w:tr>
    </w:tbl>
    <w:p>
      <w:pPr>
        <w:pStyle w:val="Heading2"/>
        <w:spacing w:after="120" w:before="240"/>
      </w:pPr>
      <w:r>
        <w:t xml:space="preserve">4.2 Encoding</w:t>
      </w:r>
    </w:p>
    <w:p>
      <w:pPr>
        <w:spacing w:after="60" w:before="60" w:line="300"/>
      </w:pPr>
      <w:r>
        <w:rPr>
          <w:sz w:val="22"/>
          <w:szCs w:val="22"/>
        </w:rPr>
        <w:t xml:space="preserve">MR_PARAMETERS.txt must remain UTF-16 LE with BOM (FF FE) and Windows CRLF line endings. The Claude Code runner reads the file, appends the new parameter definitions, and writes the file back using the same encoding. GUIDs are generated with Guid.NewGuid() at insertion time and stored in SharedParamGuids.cs for programmatic access.</w:t>
      </w:r>
    </w:p>
    <w:p>
      <w:pPr>
        <w:pStyle w:val="Heading1"/>
        <w:pageBreakBefore/>
        <w:spacing w:after="180" w:before="360"/>
      </w:pPr>
      <w:r>
        <w:t xml:space="preserve">5. Family Editor build procedure</w:t>
      </w:r>
    </w:p>
    <w:p>
      <w:pPr>
        <w:spacing w:after="60" w:before="60" w:line="300"/>
      </w:pPr>
      <w:r>
        <w:rPr>
          <w:sz w:val="22"/>
          <w:szCs w:val="22"/>
        </w:rPr>
        <w:t xml:space="preserve">Each of the six title blocks is built from scratch in the Revit Family Editor using the matching SVG layout reference. The process is identical for all six; only the sheet dimensions differ.</w:t>
      </w:r>
    </w:p>
    <w:p>
      <w:pPr>
        <w:pStyle w:val="Heading2"/>
        <w:spacing w:after="120" w:before="240"/>
      </w:pPr>
      <w:r>
        <w:t xml:space="preserve">5.1 Starting the family</w:t>
      </w:r>
    </w:p>
    <w:p>
      <w:pPr>
        <w:pStyle w:val="ListParagraph"/>
        <w:numPr>
          <w:ilvl w:val="0"/>
          <w:numId w:val="2"/>
        </w:numPr>
        <w:spacing w:after="40" w:before="40"/>
      </w:pPr>
      <w:r>
        <w:rPr>
          <w:sz w:val="22"/>
          <w:szCs w:val="22"/>
        </w:rPr>
        <w:t xml:space="preserve">File &gt; New &gt; Family &gt; Metric Titleblock.rft</w:t>
      </w:r>
    </w:p>
    <w:p>
      <w:pPr>
        <w:pStyle w:val="ListParagraph"/>
        <w:numPr>
          <w:ilvl w:val="0"/>
          <w:numId w:val="2"/>
        </w:numPr>
        <w:spacing w:after="40" w:before="40"/>
      </w:pPr>
      <w:r>
        <w:rPr>
          <w:sz w:val="22"/>
          <w:szCs w:val="22"/>
        </w:rPr>
        <w:t xml:space="preserve">File &gt; Save As: naming convention STING_TB_{variant}_v1.0.rfa (e.g. STING_TB_A1_R_v1.0.rfa).</w:t>
      </w:r>
    </w:p>
    <w:p>
      <w:pPr>
        <w:pStyle w:val="ListParagraph"/>
        <w:numPr>
          <w:ilvl w:val="0"/>
          <w:numId w:val="2"/>
        </w:numPr>
        <w:spacing w:after="40" w:before="40"/>
      </w:pPr>
      <w:r>
        <w:rPr>
          <w:sz w:val="22"/>
          <w:szCs w:val="22"/>
        </w:rPr>
        <w:t xml:space="preserve">Manage &gt; Project Units: set Length to millimetres, decimals 0.</w:t>
      </w:r>
    </w:p>
    <w:p>
      <w:pPr>
        <w:pStyle w:val="ListParagraph"/>
        <w:numPr>
          <w:ilvl w:val="0"/>
          <w:numId w:val="2"/>
        </w:numPr>
        <w:spacing w:after="40" w:before="40"/>
      </w:pPr>
      <w:r>
        <w:rPr>
          <w:sz w:val="22"/>
          <w:szCs w:val="22"/>
        </w:rPr>
        <w:t xml:space="preserve">Settings &gt; Shared Parameters: point to MR_PARAMETERS.txt.</w:t>
      </w:r>
    </w:p>
    <w:p>
      <w:pPr>
        <w:pStyle w:val="Heading2"/>
        <w:spacing w:after="120" w:before="240"/>
      </w:pPr>
      <w:r>
        <w:t xml:space="preserve">5.2 Sheet outline</w:t>
      </w:r>
    </w:p>
    <w:p>
      <w:pPr>
        <w:spacing w:after="60" w:before="60" w:line="300"/>
      </w:pPr>
      <w:r>
        <w:rPr>
          <w:sz w:val="22"/>
          <w:szCs w:val="22"/>
        </w:rPr>
        <w:t xml:space="preserve">Delete the default sheet outline. Draw new lines using the variant dimensions from the SVG reference. For A1-R this is 841 × 594 mm with a 20 mm left margin and 10 mm on the other three sides, giving an 811 × 574 mm border rectangle.</w:t>
      </w:r>
    </w:p>
    <w:p>
      <w:pPr>
        <w:pStyle w:val="Heading2"/>
        <w:spacing w:after="120" w:before="240"/>
      </w:pPr>
      <w:r>
        <w:t xml:space="preserve">5.3 Placing the 13 bands</w:t>
      </w:r>
    </w:p>
    <w:p>
      <w:pPr>
        <w:spacing w:after="60" w:before="60" w:line="300"/>
      </w:pPr>
      <w:r>
        <w:rPr>
          <w:sz w:val="22"/>
          <w:szCs w:val="22"/>
        </w:rPr>
        <w:t xml:space="preserve">Use the SVG reference as a visual template. In the Family Editor, draw detail lines at the band boundaries. Each band is a region defined by four lines; place labels and text within each region using the following rules:</w:t>
      </w:r>
    </w:p>
    <w:p>
      <w:pPr>
        <w:pStyle w:val="ListParagraph"/>
        <w:numPr>
          <w:ilvl w:val="0"/>
          <w:numId w:val="2"/>
        </w:numPr>
        <w:spacing w:after="40" w:before="40"/>
      </w:pPr>
      <w:r>
        <w:rPr>
          <w:sz w:val="22"/>
          <w:szCs w:val="22"/>
        </w:rPr>
        <w:t xml:space="preserve">Static text (company name, column headers, confidentiality notice): use Text tool.</w:t>
      </w:r>
    </w:p>
    <w:p>
      <w:pPr>
        <w:pStyle w:val="ListParagraph"/>
        <w:numPr>
          <w:ilvl w:val="0"/>
          <w:numId w:val="2"/>
        </w:numPr>
        <w:spacing w:after="40" w:before="40"/>
      </w:pPr>
      <w:r>
        <w:rPr>
          <w:sz w:val="22"/>
          <w:szCs w:val="22"/>
        </w:rPr>
        <w:t xml:space="preserve">Dynamic values (parameter placeholders): use Label tool. Click the Edit Label button and map the label to the matching shared parameter.</w:t>
      </w:r>
    </w:p>
    <w:p>
      <w:pPr>
        <w:pStyle w:val="ListParagraph"/>
        <w:numPr>
          <w:ilvl w:val="0"/>
          <w:numId w:val="2"/>
        </w:numPr>
        <w:spacing w:after="40" w:before="40"/>
      </w:pPr>
      <w:r>
        <w:rPr>
          <w:sz w:val="22"/>
          <w:szCs w:val="22"/>
        </w:rPr>
        <w:t xml:space="preserve">Discipline colour band (Band 2): use a Filled Region with a solid fill pattern. The fill colour is set by StingTools via the Filled Region type; nine types are pre-configured (one per discipline).</w:t>
      </w:r>
    </w:p>
    <w:p>
      <w:pPr>
        <w:pStyle w:val="ListParagraph"/>
        <w:numPr>
          <w:ilvl w:val="0"/>
          <w:numId w:val="2"/>
        </w:numPr>
        <w:spacing w:after="40" w:before="40"/>
      </w:pPr>
      <w:r>
        <w:rPr>
          <w:sz w:val="22"/>
          <w:szCs w:val="22"/>
        </w:rPr>
        <w:t xml:space="preserve">Octagonal status stamp (Band 12): draw as a Filled Region with eight line segments. The fill colour is set by StingTools via the Filled Region type; six types are pre-configured (one per suitability code).</w:t>
      </w:r>
    </w:p>
    <w:p>
      <w:pPr>
        <w:pStyle w:val="ListParagraph"/>
        <w:numPr>
          <w:ilvl w:val="0"/>
          <w:numId w:val="2"/>
        </w:numPr>
        <w:spacing w:after="40" w:before="40"/>
      </w:pPr>
      <w:r>
        <w:rPr>
          <w:sz w:val="22"/>
          <w:szCs w:val="22"/>
        </w:rPr>
        <w:t xml:space="preserve">Legend placeholder regions (Bands 3 and 4): draw an empty rectangle with a dashed reference line border. Do not nest any content; the legend view drops on top at run time.</w:t>
      </w:r>
    </w:p>
    <w:p>
      <w:pPr>
        <w:pStyle w:val="Heading2"/>
        <w:spacing w:after="120" w:before="240"/>
      </w:pPr>
      <w:r>
        <w:t xml:space="preserve">5.4 Visibility parameter wiring</w:t>
      </w:r>
    </w:p>
    <w:p>
      <w:pPr>
        <w:spacing w:after="60" w:before="60" w:line="300"/>
      </w:pPr>
      <w:r>
        <w:rPr>
          <w:sz w:val="22"/>
          <w:szCs w:val="22"/>
        </w:rPr>
        <w:t xml:space="preserve">Four elements require Yes/No visibility parameters so StingTools can toggle them per sheet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000"/>
        <w:gridCol w:w="1960"/>
      </w:tblGrid>
      <w:tr>
        <w:trPr>
          <w:tblHeader/>
        </w:trPr>
        <w:tc>
          <w:tcPr>
            <w:tcW w:type="dxa" w:w="34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Element</w:t>
            </w:r>
          </w:p>
        </w:tc>
        <w:tc>
          <w:tcPr>
            <w:tcW w:type="dxa" w:w="40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Visibility parameter</w:t>
            </w:r>
          </w:p>
        </w:tc>
        <w:tc>
          <w:tcPr>
            <w:tcW w:type="dxa" w:w="196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Default</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Key plan placeholder</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PRJ_TB_SHOW_KEYPLAN_BOOL</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Yes</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Scale bar</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PRJ_TB_SHOW_SCALEBAR_BOOL</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Yes</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North arrow</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PRJ_TB_SHOW_NORTHARROW_BOOL</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Yes</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Discipline colour band</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PRJ_TB_SHOW_DISCBAND_BOOL</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Yes</w:t>
            </w:r>
          </w:p>
        </w:tc>
      </w:tr>
    </w:tbl>
    <w:p>
      <w:pPr>
        <w:pStyle w:val="Heading2"/>
        <w:spacing w:after="120" w:before="240"/>
      </w:pPr>
      <w:r>
        <w:t xml:space="preserve">5.5 Saving and loading</w:t>
      </w:r>
    </w:p>
    <w:p>
      <w:pPr>
        <w:pStyle w:val="ListParagraph"/>
        <w:numPr>
          <w:ilvl w:val="0"/>
          <w:numId w:val="2"/>
        </w:numPr>
        <w:spacing w:after="40" w:before="40"/>
      </w:pPr>
      <w:r>
        <w:rPr>
          <w:sz w:val="22"/>
          <w:szCs w:val="22"/>
        </w:rPr>
        <w:t xml:space="preserve">Save each family with the ISO naming pattern: YYYYMMDD_STING_TB_{variant}_v1.0.rfa</w:t>
      </w:r>
    </w:p>
    <w:p>
      <w:pPr>
        <w:pStyle w:val="ListParagraph"/>
        <w:numPr>
          <w:ilvl w:val="0"/>
          <w:numId w:val="2"/>
        </w:numPr>
        <w:spacing w:after="40" w:before="40"/>
      </w:pPr>
      <w:r>
        <w:rPr>
          <w:sz w:val="22"/>
          <w:szCs w:val="22"/>
        </w:rPr>
        <w:t xml:space="preserve">Load each family into the project template.</w:t>
      </w:r>
    </w:p>
    <w:p>
      <w:pPr>
        <w:pStyle w:val="ListParagraph"/>
        <w:numPr>
          <w:ilvl w:val="0"/>
          <w:numId w:val="2"/>
        </w:numPr>
        <w:spacing w:after="40" w:before="40"/>
      </w:pPr>
      <w:r>
        <w:rPr>
          <w:sz w:val="22"/>
          <w:szCs w:val="22"/>
        </w:rPr>
        <w:t xml:space="preserve">In the project, test the family by placing a sheet and confirming that all shared parameters bind correctly.</w:t>
      </w:r>
    </w:p>
    <w:p>
      <w:pPr>
        <w:pStyle w:val="ListParagraph"/>
        <w:numPr>
          <w:ilvl w:val="0"/>
          <w:numId w:val="2"/>
        </w:numPr>
        <w:spacing w:after="40" w:before="40"/>
      </w:pPr>
      <w:r>
        <w:rPr>
          <w:sz w:val="22"/>
          <w:szCs w:val="22"/>
        </w:rPr>
        <w:t xml:space="preserve">Set the PreferredTitleBlockFamily entry in TagConfig to the A1-R family name. StingTools will use this as the default for new sheets via the existing NewSheetDialog.</w:t>
      </w:r>
    </w:p>
    <w:p>
      <w:pPr>
        <w:pStyle w:val="Heading1"/>
        <w:pageBreakBefore/>
        <w:spacing w:after="180" w:before="360"/>
      </w:pPr>
      <w:r>
        <w:t xml:space="preserve">6. BCC auto-populate for Issues/Submissions</w:t>
      </w:r>
    </w:p>
    <w:p>
      <w:pPr>
        <w:pStyle w:val="Heading2"/>
        <w:spacing w:after="120" w:before="240"/>
      </w:pPr>
      <w:r>
        <w:t xml:space="preserve">6.1 Source of truth</w:t>
      </w:r>
    </w:p>
    <w:p>
      <w:pPr>
        <w:spacing w:after="60" w:before="60" w:line="300"/>
      </w:pPr>
      <w:r>
        <w:rPr>
          <w:sz w:val="22"/>
          <w:szCs w:val="22"/>
        </w:rPr>
        <w:t xml:space="preserve">The Issues/Submissions band on each title block (Band 6) is populated from the BIM Coordination Centre's DeliverableRow class, not from IssueRow. The two classes are distinct: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BCC class</w:t>
            </w:r>
          </w:p>
        </w:tc>
        <w:tc>
          <w:tcPr>
            <w:tcW w:type="dxa" w:w="32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Tracks</w:t>
            </w:r>
          </w:p>
        </w:tc>
        <w:tc>
          <w:tcPr>
            <w:tcW w:type="dxa" w:w="436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Fields used by Band 6</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IssueRow</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RFIs, clashes, coordination comments, action items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Not used directly; optional cross-link by Id when an issue is tied to a deliverable.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DeliverableRow</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CDE submissions of drawings, models, schedules, reports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DataDrop, Status, Suitability, CDE, DueDate, Code</w:t>
            </w:r>
          </w:p>
        </w:tc>
      </w:tr>
    </w:tbl>
    <w:p>
      <w:pPr>
        <w:pStyle w:val="Heading2"/>
        <w:spacing w:after="120" w:before="240"/>
      </w:pPr>
      <w:r>
        <w:t xml:space="preserve">6.2 Data flow</w:t>
      </w:r>
    </w:p>
    <w:p>
      <w:pPr>
        <w:spacing w:after="60" w:before="60" w:line="300"/>
      </w:pPr>
      <w:r>
        <w:rPr>
          <w:sz w:val="22"/>
          <w:szCs w:val="22"/>
        </w:rPr>
        <w:t xml:space="preserve">When a CreateTransmittal action fires in BCC, StingTools intercepts the event and, for each sheet included in the transmittal:</w:t>
      </w:r>
    </w:p>
    <w:p>
      <w:pPr>
        <w:pStyle w:val="ListParagraph"/>
        <w:numPr>
          <w:ilvl w:val="0"/>
          <w:numId w:val="2"/>
        </w:numPr>
        <w:spacing w:after="40" w:before="40"/>
      </w:pPr>
      <w:r>
        <w:rPr>
          <w:sz w:val="22"/>
          <w:szCs w:val="22"/>
        </w:rPr>
        <w:t xml:space="preserve">Reads the associated DeliverableRow from BCC in-memory state.</w:t>
      </w:r>
    </w:p>
    <w:p>
      <w:pPr>
        <w:pStyle w:val="ListParagraph"/>
        <w:numPr>
          <w:ilvl w:val="0"/>
          <w:numId w:val="2"/>
        </w:numPr>
        <w:spacing w:after="40" w:before="40"/>
      </w:pPr>
      <w:r>
        <w:rPr>
          <w:sz w:val="22"/>
          <w:szCs w:val="22"/>
        </w:rPr>
        <w:t xml:space="preserve">Writes a new issue record to Band 6 containing: date (today), purpose (Suitability + Status), recipient (Transmittal recipient), transmittal number (Transmittal Id).</w:t>
      </w:r>
    </w:p>
    <w:p>
      <w:pPr>
        <w:pStyle w:val="ListParagraph"/>
        <w:numPr>
          <w:ilvl w:val="0"/>
          <w:numId w:val="2"/>
        </w:numPr>
        <w:spacing w:after="40" w:before="40"/>
      </w:pPr>
      <w:r>
        <w:rPr>
          <w:sz w:val="22"/>
          <w:szCs w:val="22"/>
        </w:rPr>
        <w:t xml:space="preserve">Updates PRJ_TB_LAST_TRANSMITTAL_TXT and PRJ_TB_LAST_TRANSMITTAL_DATE_TXT.</w:t>
      </w:r>
    </w:p>
    <w:p>
      <w:pPr>
        <w:pStyle w:val="ListParagraph"/>
        <w:numPr>
          <w:ilvl w:val="0"/>
          <w:numId w:val="2"/>
        </w:numPr>
        <w:spacing w:after="40" w:before="40"/>
      </w:pPr>
      <w:r>
        <w:rPr>
          <w:sz w:val="22"/>
          <w:szCs w:val="22"/>
        </w:rPr>
        <w:t xml:space="preserve">Mirrors DeliverableRow.DataDrop/Status/DueDate/CDE into the four PRJ_TB_DELIVERABLE_* parameters.</w:t>
      </w:r>
    </w:p>
    <w:p>
      <w:pPr>
        <w:pStyle w:val="Heading2"/>
        <w:spacing w:after="120" w:before="240"/>
      </w:pPr>
      <w:r>
        <w:t xml:space="preserve">6.3 Manual issue entry</w:t>
      </w:r>
    </w:p>
    <w:p>
      <w:pPr>
        <w:spacing w:after="60" w:before="60" w:line="300"/>
      </w:pPr>
      <w:r>
        <w:rPr>
          <w:sz w:val="22"/>
          <w:szCs w:val="22"/>
        </w:rPr>
        <w:t xml:space="preserve">The IssueRecord command remains available for ad hoc issue entries that are not tied to a formal CDE transmittal (e.g. informal working-party issues, design reviews). Manual entries are visually identical to auto-populated entries in Band 6 but carry an empty PRJ_TB_LAST_TRANSMITTAL_TXT.</w:t>
      </w:r>
    </w:p>
    <w:p>
      <w:pPr>
        <w:pStyle w:val="Heading2"/>
        <w:spacing w:after="120" w:before="240"/>
      </w:pPr>
      <w:r>
        <w:t xml:space="preserve">6.4 Audit trail</w:t>
      </w:r>
    </w:p>
    <w:p>
      <w:pPr>
        <w:spacing w:after="60" w:before="60" w:line="300"/>
      </w:pPr>
      <w:r>
        <w:rPr>
          <w:sz w:val="22"/>
          <w:szCs w:val="22"/>
        </w:rPr>
        <w:t xml:space="preserve">All Band 6 writes are logged to StingLog under the IssueRecord event. The log captures: sheet number, old value, new value, timestamp, username, and transmittal id (if any). This supports ISO 19650-2 Annex B compliance auditing.</w:t>
      </w:r>
    </w:p>
    <w:p>
      <w:pPr>
        <w:pStyle w:val="Heading1"/>
        <w:pageBreakBefore/>
        <w:spacing w:after="180" w:before="360"/>
      </w:pPr>
      <w:r>
        <w:t xml:space="preserve">7. Automation gaps — priority implementation</w:t>
      </w:r>
    </w:p>
    <w:p>
      <w:pPr>
        <w:spacing w:after="60" w:before="60" w:line="300"/>
      </w:pPr>
      <w:r>
        <w:rPr>
          <w:sz w:val="22"/>
          <w:szCs w:val="22"/>
        </w:rPr>
        <w:t xml:space="preserve">Eight automation commands close the largest current gaps in StingTools' title block handling. Each is specified below with purpose, input data, behaviour, and acceptance criteria.</w:t>
      </w:r>
    </w:p>
    <w:p>
      <w:pPr>
        <w:pStyle w:val="Heading2"/>
        <w:spacing w:after="120" w:before="240"/>
      </w:pPr>
      <w:r>
        <w:t xml:space="preserve">7.1 TitleBlockPopulate</w:t>
      </w:r>
    </w:p>
    <w:p>
      <w:pPr>
        <w:spacing w:after="80" w:before="40"/>
      </w:pPr>
      <w:r>
        <w:rPr>
          <w:i/>
          <w:iCs/>
          <w:color w:val="666666"/>
          <w:sz w:val="20"/>
          <w:szCs w:val="20"/>
        </w:rPr>
        <w:t xml:space="preserve">Priority: Tier 1</w:t>
      </w:r>
    </w:p>
    <w:p>
      <w:pPr>
        <w:spacing w:after="60" w:before="60" w:line="300"/>
      </w:pPr>
      <w:r>
        <w:rPr>
          <w:sz w:val="22"/>
          <w:szCs w:val="22"/>
        </w:rPr>
        <w:t xml:space="preserve">Purpose. Bulk-write all PRJ_TB_* values into every sheet's title block in one transaction.</w:t>
      </w:r>
    </w:p>
    <w:p>
      <w:pPr>
        <w:spacing w:after="60" w:before="60" w:line="300"/>
      </w:pPr>
      <w:r>
        <w:rPr>
          <w:sz w:val="22"/>
          <w:szCs w:val="22"/>
        </w:rPr>
        <w:t xml:space="preserve">Input. TITLE_BLOCK.csv (discipline-split, same pattern as existing STING data files) containing key-value pairs for every PRJ_TB_* parameter.</w:t>
      </w:r>
    </w:p>
    <w:p>
      <w:pPr>
        <w:spacing w:after="60" w:before="60" w:line="300"/>
      </w:pPr>
      <w:r>
        <w:rPr>
          <w:sz w:val="22"/>
          <w:szCs w:val="22"/>
        </w:rPr>
        <w:t xml:space="preserve">Behaviour. Iterates sheets where PRJ_TB_LOCK_BOOL is No. For each sheet, reads the matching column from TITLE_BLOCK.csv based on SHT_DISC_TXT, writes values, stamps PRJ_TB_LAST_SYNC_TXT and PRJ_TB_LAST_SYNC_BY_TXT.</w:t>
      </w:r>
    </w:p>
    <w:p>
      <w:pPr>
        <w:spacing w:after="60" w:before="60" w:line="300"/>
      </w:pPr>
      <w:r>
        <w:rPr>
          <w:sz w:val="22"/>
          <w:szCs w:val="22"/>
        </w:rPr>
        <w:t xml:space="preserve">Acceptance. Running on a 50-sheet project completes in under 3 seconds, produces a summary dialog listing sheets updated and sheets skipped (locked), and writes a StingLog entry.</w:t>
      </w:r>
    </w:p>
    <w:p>
      <w:pPr>
        <w:pStyle w:val="Heading2"/>
        <w:spacing w:after="120" w:before="240"/>
      </w:pPr>
      <w:r>
        <w:t xml:space="preserve">7.2 TitleBlockValidate</w:t>
      </w:r>
    </w:p>
    <w:p>
      <w:pPr>
        <w:spacing w:after="80" w:before="40"/>
      </w:pPr>
      <w:r>
        <w:rPr>
          <w:i/>
          <w:iCs/>
          <w:color w:val="666666"/>
          <w:sz w:val="20"/>
          <w:szCs w:val="20"/>
        </w:rPr>
        <w:t xml:space="preserve">Priority: Tier 1</w:t>
      </w:r>
    </w:p>
    <w:p>
      <w:pPr>
        <w:spacing w:after="60" w:before="60" w:line="300"/>
      </w:pPr>
      <w:r>
        <w:rPr>
          <w:sz w:val="22"/>
          <w:szCs w:val="22"/>
        </w:rPr>
        <w:t xml:space="preserve">Purpose. Non-transactional audit of title block completeness and correctness.</w:t>
      </w:r>
    </w:p>
    <w:p>
      <w:pPr>
        <w:spacing w:after="60" w:before="60" w:line="300"/>
      </w:pPr>
      <w:r>
        <w:rPr>
          <w:sz w:val="22"/>
          <w:szCs w:val="22"/>
        </w:rPr>
        <w:t xml:space="preserve">Input. None (reads project state).</w:t>
      </w:r>
    </w:p>
    <w:p>
      <w:pPr>
        <w:spacing w:after="60" w:before="60" w:line="300"/>
      </w:pPr>
      <w:r>
        <w:rPr>
          <w:sz w:val="22"/>
          <w:szCs w:val="22"/>
        </w:rPr>
        <w:t xml:space="preserve">Behaviour. For every sheet: confirms a title block is placed, every required PRJ_TB_* field is populated, SHT_DISC_TXT matches the variant code in PRJ_TB_VARIANT_TXT, PRJ_DWG_SUITABILITY_COD_TXT is a valid ISO 19650 code (S0-S7 or A1), PRJ_TB_LAST_SYNC_TXT is not older than 7 days.</w:t>
      </w:r>
    </w:p>
    <w:p>
      <w:pPr>
        <w:spacing w:after="60" w:before="60" w:line="300"/>
      </w:pPr>
      <w:r>
        <w:rPr>
          <w:sz w:val="22"/>
          <w:szCs w:val="22"/>
        </w:rPr>
        <w:t xml:space="preserve">Acceptance. Produces a validation report in StingResultPanel with pass/fail counts per check. Failing sheets listed with specific error codes. Never modifies the project.</w:t>
      </w:r>
    </w:p>
    <w:p>
      <w:pPr>
        <w:pStyle w:val="Heading2"/>
        <w:spacing w:after="120" w:before="240"/>
      </w:pPr>
      <w:r>
        <w:t xml:space="preserve">7.3 TitleBlockSetVariant</w:t>
      </w:r>
    </w:p>
    <w:p>
      <w:pPr>
        <w:spacing w:after="80" w:before="40"/>
      </w:pPr>
      <w:r>
        <w:rPr>
          <w:i/>
          <w:iCs/>
          <w:color w:val="666666"/>
          <w:sz w:val="20"/>
          <w:szCs w:val="20"/>
        </w:rPr>
        <w:t xml:space="preserve">Priority: Tier 1</w:t>
      </w:r>
    </w:p>
    <w:p>
      <w:pPr>
        <w:spacing w:after="60" w:before="60" w:line="300"/>
      </w:pPr>
      <w:r>
        <w:rPr>
          <w:sz w:val="22"/>
          <w:szCs w:val="22"/>
        </w:rPr>
        <w:t xml:space="preserve">Purpose. Auto-swap title block family type based on paper size and reading direction.</w:t>
      </w:r>
    </w:p>
    <w:p>
      <w:pPr>
        <w:spacing w:after="60" w:before="60" w:line="300"/>
      </w:pPr>
      <w:r>
        <w:rPr>
          <w:sz w:val="22"/>
          <w:szCs w:val="22"/>
        </w:rPr>
        <w:t xml:space="preserve">Input. None (reads sheet properties).</w:t>
      </w:r>
    </w:p>
    <w:p>
      <w:pPr>
        <w:spacing w:after="60" w:before="60" w:line="300"/>
      </w:pPr>
      <w:r>
        <w:rPr>
          <w:sz w:val="22"/>
          <w:szCs w:val="22"/>
        </w:rPr>
        <w:t xml:space="preserve">Behaviour. For every sheet: detects paper size from the sheet settings, infers strip preference from viewport aspect ratio (wide viewports prefer B-strip), swaps the placed title block to the matching STING_TB_* family if it differs from the current one.</w:t>
      </w:r>
    </w:p>
    <w:p>
      <w:pPr>
        <w:spacing w:after="60" w:before="60" w:line="300"/>
      </w:pPr>
      <w:r>
        <w:rPr>
          <w:sz w:val="22"/>
          <w:szCs w:val="22"/>
        </w:rPr>
        <w:t xml:space="preserve">Acceptance. Swapping 20 sheets completes in under 2 seconds. Swap preserves all filled-in values; positions are retained via PRJ_TB_* parameters.</w:t>
      </w:r>
    </w:p>
    <w:p>
      <w:pPr>
        <w:pStyle w:val="Heading2"/>
        <w:spacing w:after="120" w:before="240"/>
      </w:pPr>
      <w:r>
        <w:t xml:space="preserve">7.4 DisciplineLegendBind</w:t>
      </w:r>
    </w:p>
    <w:p>
      <w:pPr>
        <w:spacing w:after="80" w:before="40"/>
      </w:pPr>
      <w:r>
        <w:rPr>
          <w:i/>
          <w:iCs/>
          <w:color w:val="666666"/>
          <w:sz w:val="20"/>
          <w:szCs w:val="20"/>
        </w:rPr>
        <w:t xml:space="preserve">Priority: Tier 1</w:t>
      </w:r>
    </w:p>
    <w:p>
      <w:pPr>
        <w:spacing w:after="60" w:before="60" w:line="300"/>
      </w:pPr>
      <w:r>
        <w:rPr>
          <w:sz w:val="22"/>
          <w:szCs w:val="22"/>
        </w:rPr>
        <w:t xml:space="preserve">Purpose. Place or replace the discipline-specific legend view in the notes region of each sheet's title block.</w:t>
      </w:r>
    </w:p>
    <w:p>
      <w:pPr>
        <w:spacing w:after="60" w:before="60" w:line="300"/>
      </w:pPr>
      <w:r>
        <w:rPr>
          <w:sz w:val="22"/>
          <w:szCs w:val="22"/>
        </w:rPr>
        <w:t xml:space="preserve">Input. Legend views following the LGD-{DISCIPLINE}-NOTES and LGD-{DISCIPLINE}-SYMBOLS naming convention.</w:t>
      </w:r>
    </w:p>
    <w:p>
      <w:pPr>
        <w:spacing w:after="60" w:before="60" w:line="300"/>
      </w:pPr>
      <w:r>
        <w:rPr>
          <w:sz w:val="22"/>
          <w:szCs w:val="22"/>
        </w:rPr>
        <w:t xml:space="preserve">Behaviour. For every sheet with SHT_DISC_TXT set: removes any currently placed legend view at the notes region location, places the matching legend view, writes PRJ_TB_NOTES_LEGEND_REF_TXT.</w:t>
      </w:r>
    </w:p>
    <w:p>
      <w:pPr>
        <w:spacing w:after="60" w:before="60" w:line="300"/>
      </w:pPr>
      <w:r>
        <w:rPr>
          <w:sz w:val="22"/>
          <w:szCs w:val="22"/>
        </w:rPr>
        <w:t xml:space="preserve">Acceptance. Binding 30 sheets completes in under 5 seconds. Sheets with no matching legend view are skipped with a warning.</w:t>
      </w:r>
    </w:p>
    <w:p>
      <w:pPr>
        <w:pStyle w:val="Heading2"/>
        <w:spacing w:after="120" w:before="240"/>
      </w:pPr>
      <w:r>
        <w:t xml:space="preserve">7.5 SheetCountAutoUpdate</w:t>
      </w:r>
    </w:p>
    <w:p>
      <w:pPr>
        <w:spacing w:after="80" w:before="40"/>
      </w:pPr>
      <w:r>
        <w:rPr>
          <w:i/>
          <w:iCs/>
          <w:color w:val="666666"/>
          <w:sz w:val="20"/>
          <w:szCs w:val="20"/>
        </w:rPr>
        <w:t xml:space="preserve">Priority: Tier 1</w:t>
      </w:r>
    </w:p>
    <w:p>
      <w:pPr>
        <w:spacing w:after="60" w:before="60" w:line="300"/>
      </w:pPr>
      <w:r>
        <w:rPr>
          <w:sz w:val="22"/>
          <w:szCs w:val="22"/>
        </w:rPr>
        <w:t xml:space="preserve">Purpose. Keep PRJ_TB_TOTAL_NO_SHEETS_TXT accurate without manual entry.</w:t>
      </w:r>
    </w:p>
    <w:p>
      <w:pPr>
        <w:spacing w:after="60" w:before="60" w:line="300"/>
      </w:pPr>
      <w:r>
        <w:rPr>
          <w:sz w:val="22"/>
          <w:szCs w:val="22"/>
        </w:rPr>
        <w:t xml:space="preserve">Input. None (counts sheets where Appears In Sheet List is Yes).</w:t>
      </w:r>
    </w:p>
    <w:p>
      <w:pPr>
        <w:spacing w:after="60" w:before="60" w:line="300"/>
      </w:pPr>
      <w:r>
        <w:rPr>
          <w:sz w:val="22"/>
          <w:szCs w:val="22"/>
        </w:rPr>
        <w:t xml:space="preserve">Behaviour. Iterates every sheet, counts those marked for inclusion in the sheet list, writes the total to PRJ_TB_TOTAL_NO_SHEETS_TXT as a global parameter.</w:t>
      </w:r>
    </w:p>
    <w:p>
      <w:pPr>
        <w:spacing w:after="60" w:before="60" w:line="300"/>
      </w:pPr>
      <w:r>
        <w:rPr>
          <w:sz w:val="22"/>
          <w:szCs w:val="22"/>
        </w:rPr>
        <w:t xml:space="preserve">Acceptance. Runs as part of TitleBlockPopulate. Count updates automatically; no user action required.</w:t>
      </w:r>
    </w:p>
    <w:p>
      <w:pPr>
        <w:pStyle w:val="Heading2"/>
        <w:spacing w:after="120" w:before="240"/>
      </w:pPr>
      <w:r>
        <w:t xml:space="preserve">7.6 RevisionSync</w:t>
      </w:r>
    </w:p>
    <w:p>
      <w:pPr>
        <w:spacing w:after="80" w:before="40"/>
      </w:pPr>
      <w:r>
        <w:rPr>
          <w:i/>
          <w:iCs/>
          <w:color w:val="666666"/>
          <w:sz w:val="20"/>
          <w:szCs w:val="20"/>
        </w:rPr>
        <w:t xml:space="preserve">Priority: Tier 2</w:t>
      </w:r>
    </w:p>
    <w:p>
      <w:pPr>
        <w:spacing w:after="60" w:before="60" w:line="300"/>
      </w:pPr>
      <w:r>
        <w:rPr>
          <w:sz w:val="22"/>
          <w:szCs w:val="22"/>
        </w:rPr>
        <w:t xml:space="preserve">Purpose. Sync Revit's native revision data into PRJ_TB_REVISION_NR_TXT and PRJ_TB_REVISION_DATE_TXT.</w:t>
      </w:r>
    </w:p>
    <w:p>
      <w:pPr>
        <w:spacing w:after="60" w:before="60" w:line="300"/>
      </w:pPr>
      <w:r>
        <w:rPr>
          <w:sz w:val="22"/>
          <w:szCs w:val="22"/>
        </w:rPr>
        <w:t xml:space="preserve">Input. Revit native Sheet Issues/Revisions table.</w:t>
      </w:r>
    </w:p>
    <w:p>
      <w:pPr>
        <w:spacing w:after="60" w:before="60" w:line="300"/>
      </w:pPr>
      <w:r>
        <w:rPr>
          <w:sz w:val="22"/>
          <w:szCs w:val="22"/>
        </w:rPr>
        <w:t xml:space="preserve">Behaviour. For every sheet: reads the current non-issued revision from Revit's revision schedule, writes the revision number to PRJ_TB_REVISION_NR_TXT and the date to PRJ_TB_REVISION_DATE_TXT.</w:t>
      </w:r>
    </w:p>
    <w:p>
      <w:pPr>
        <w:spacing w:after="60" w:before="60" w:line="300"/>
      </w:pPr>
      <w:r>
        <w:rPr>
          <w:sz w:val="22"/>
          <w:szCs w:val="22"/>
        </w:rPr>
        <w:t xml:space="preserve">Acceptance. Runs on project save and on demand. StingLog records each sync event.</w:t>
      </w:r>
    </w:p>
    <w:p>
      <w:pPr>
        <w:pStyle w:val="Heading2"/>
        <w:spacing w:after="120" w:before="240"/>
      </w:pPr>
      <w:r>
        <w:t xml:space="preserve">7.7 TransmittalAutoIssue</w:t>
      </w:r>
    </w:p>
    <w:p>
      <w:pPr>
        <w:spacing w:after="80" w:before="40"/>
      </w:pPr>
      <w:r>
        <w:rPr>
          <w:i/>
          <w:iCs/>
          <w:color w:val="666666"/>
          <w:sz w:val="20"/>
          <w:szCs w:val="20"/>
        </w:rPr>
        <w:t xml:space="preserve">Priority: Tier 2</w:t>
      </w:r>
    </w:p>
    <w:p>
      <w:pPr>
        <w:spacing w:after="60" w:before="60" w:line="300"/>
      </w:pPr>
      <w:r>
        <w:rPr>
          <w:sz w:val="22"/>
          <w:szCs w:val="22"/>
        </w:rPr>
        <w:t xml:space="preserve">Purpose. Auto-add a Band 6 Issues/Submissions entry when CreateTransmittal fires in BCC.</w:t>
      </w:r>
    </w:p>
    <w:p>
      <w:pPr>
        <w:spacing w:after="60" w:before="60" w:line="300"/>
      </w:pPr>
      <w:r>
        <w:rPr>
          <w:sz w:val="22"/>
          <w:szCs w:val="22"/>
        </w:rPr>
        <w:t xml:space="preserve">Input. BCC transmittal metadata (recipient, date, transmittal number, sheets included, suitability code).</w:t>
      </w:r>
    </w:p>
    <w:p>
      <w:pPr>
        <w:spacing w:after="60" w:before="60" w:line="300"/>
      </w:pPr>
      <w:r>
        <w:rPr>
          <w:sz w:val="22"/>
          <w:szCs w:val="22"/>
        </w:rPr>
        <w:t xml:space="preserve">Behaviour. Intercepts the CreateTransmittal event. For each sheet in the transmittal: writes a new issue row to Band 6, updates PRJ_TB_LAST_TRANSMITTAL_TXT and PRJ_TB_LAST_TRANSMITTAL_DATE_TXT, mirrors DeliverableRow fields into PRJ_TB_DELIVERABLE_* parameters.</w:t>
      </w:r>
    </w:p>
    <w:p>
      <w:pPr>
        <w:spacing w:after="60" w:before="60" w:line="300"/>
      </w:pPr>
      <w:r>
        <w:rPr>
          <w:sz w:val="22"/>
          <w:szCs w:val="22"/>
        </w:rPr>
        <w:t xml:space="preserve">Acceptance. Issuing a transmittal to 12 sheets produces 12 new Band 6 entries in under 2 seconds. StingLog records each entry with a link to the transmittal id.</w:t>
      </w:r>
    </w:p>
    <w:p>
      <w:pPr>
        <w:pStyle w:val="Heading2"/>
        <w:spacing w:after="120" w:before="240"/>
      </w:pPr>
      <w:r>
        <w:t xml:space="preserve">7.8 PreExportValidate</w:t>
      </w:r>
    </w:p>
    <w:p>
      <w:pPr>
        <w:spacing w:after="80" w:before="40"/>
      </w:pPr>
      <w:r>
        <w:rPr>
          <w:i/>
          <w:iCs/>
          <w:color w:val="666666"/>
          <w:sz w:val="20"/>
          <w:szCs w:val="20"/>
        </w:rPr>
        <w:t xml:space="preserve">Priority: Tier 2</w:t>
      </w:r>
    </w:p>
    <w:p>
      <w:pPr>
        <w:spacing w:after="60" w:before="60" w:line="300"/>
      </w:pPr>
      <w:r>
        <w:rPr>
          <w:sz w:val="22"/>
          <w:szCs w:val="22"/>
        </w:rPr>
        <w:t xml:space="preserve">Purpose. Block PDF/DWF export until all sheets pass basic completeness checks.</w:t>
      </w:r>
    </w:p>
    <w:p>
      <w:pPr>
        <w:spacing w:after="60" w:before="60" w:line="300"/>
      </w:pPr>
      <w:r>
        <w:rPr>
          <w:sz w:val="22"/>
          <w:szCs w:val="22"/>
        </w:rPr>
        <w:t xml:space="preserve">Input. Sheet selection for export.</w:t>
      </w:r>
    </w:p>
    <w:p>
      <w:pPr>
        <w:spacing w:after="60" w:before="60" w:line="300"/>
      </w:pPr>
      <w:r>
        <w:rPr>
          <w:sz w:val="22"/>
          <w:szCs w:val="22"/>
        </w:rPr>
        <w:t xml:space="preserve">Behaviour. Before the export dialog opens, runs a subset of TitleBlockValidate checks. If any critical fields are empty (drawing title, sheet number, suitability code, approvals), blocks the export and shows a list of offending sheets.</w:t>
      </w:r>
    </w:p>
    <w:p>
      <w:pPr>
        <w:spacing w:after="60" w:before="60" w:line="300"/>
      </w:pPr>
      <w:r>
        <w:rPr>
          <w:sz w:val="22"/>
          <w:szCs w:val="22"/>
        </w:rPr>
        <w:t xml:space="preserve">Acceptance. Export is blocked when critical fields are empty. User can cancel or fix issues and retry. Works on both StingTools Exports and Revit's built-in PDF export path.</w:t>
      </w:r>
    </w:p>
    <w:p>
      <w:pPr>
        <w:pStyle w:val="Heading1"/>
        <w:pageBreakBefore/>
        <w:spacing w:after="180" w:before="360"/>
      </w:pPr>
      <w:r>
        <w:t xml:space="preserve">8. Implementation checklist</w:t>
      </w:r>
    </w:p>
    <w:p>
      <w:pPr>
        <w:spacing w:after="60" w:before="60" w:line="300"/>
      </w:pPr>
      <w:r>
        <w:rPr>
          <w:sz w:val="22"/>
          <w:szCs w:val="22"/>
        </w:rPr>
        <w:t xml:space="preserve">Order of work for the Claude Code runner. Each step has a mandatory commit gate; no step may begin until the previous step's commit is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00"/>
        <w:gridCol w:w="2860"/>
      </w:tblGrid>
      <w:tr>
        <w:trPr>
          <w:tblHeader/>
        </w:trPr>
        <w:tc>
          <w:tcPr>
            <w:tcW w:type="dxa" w:w="5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w:t>
            </w:r>
          </w:p>
        </w:tc>
        <w:tc>
          <w:tcPr>
            <w:tcW w:type="dxa" w:w="60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Step</w:t>
            </w:r>
          </w:p>
        </w:tc>
        <w:tc>
          <w:tcPr>
            <w:tcW w:type="dxa" w:w="286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Commit gate</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S01</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Generate GUIDs for 19 new parameters and append definitions to MR_PARAMETERS.txt with correct UTF-16 LE encoding</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File opens cleanly in Revit shared-parameter manager</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S02</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Update SharedParamGuids.cs with named constants for the 19 new GUIDs</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dotnet build passes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S03</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Extend ParamRegistry.cs to register the 19 new parameters in the project-parameter catalogue</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dotnet build passes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S04</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Author the six STING_TB_*.rfa families in the Family Editor using the SVG band references</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Visual inspection of each family in Revit</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S05</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Load families into project template, set PreferredTitleBlockFamily in TagConfig</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Placing a new sheet picks the default family</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S06</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Create nine discipline legend views (LGD-*-NOTES and LGD-*-SYMBOLS)</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All 9 legend views visible in project browser</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S07</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Implement DisciplineLegendBind command</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Unit test: 3-sheet project with mixed disciplines shows correct legends after command runs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S08</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Implement TitleBlockPopulate command with TITLE_BLOCK.csv reader</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Unit test: populating 10 sheets from a CSV writes all 19 fields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S09</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Implement TitleBlockValidate command</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Unit test: deliberately-broken project produces the expected validation failures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S10</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Implement TitleBlockSetVariant command</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Unit test: placing an A1-R on A2 paper auto-swaps to A2</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S11</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Implement SheetCountAutoUpdate (invoked by TitleBlockPopulate)</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Count matches manual verification</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S12</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Implement RevisionSync command + hook to project save event</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Unit test: adding a revision updates PRJ_TB_REVISION_NR_TXT after save</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S13</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Implement TransmittalAutoIssue: subscribe to CreateTransmittal event in BIMCoordinationCenter</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Unit test: issuing a transmittal adds Band 6 entries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S14</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Implement PreExportValidate hook in StingExportDialog</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Unit test: export blocks when drawing title is empty</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S15</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Update README.md and BIM Execution Plan template with new commands</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Documentation review</w:t>
            </w:r>
          </w:p>
        </w:tc>
      </w:tr>
    </w:tbl>
    <w:p>
      <w:pPr>
        <w:pStyle w:val="Heading1"/>
        <w:pageBreakBefore/>
        <w:spacing w:after="180" w:before="360"/>
      </w:pPr>
      <w:r>
        <w:t xml:space="preserve">Appendix A. File references</w:t>
      </w:r>
    </w:p>
    <w:p>
      <w:pPr>
        <w:spacing w:after="60" w:before="60" w:line="300"/>
      </w:pPr>
      <w:r>
        <w:rPr>
          <w:sz w:val="22"/>
          <w:szCs w:val="22"/>
        </w:rPr>
        <w:t xml:space="preserve">Band-by-band PDF references for each of the six variants:</w:t>
      </w:r>
    </w:p>
    <w:p>
      <w:pPr>
        <w:pStyle w:val="ListParagraph"/>
        <w:numPr>
          <w:ilvl w:val="0"/>
          <w:numId w:val="2"/>
        </w:numPr>
        <w:spacing w:after="40" w:before="40"/>
      </w:pPr>
      <w:r>
        <w:rPr>
          <w:sz w:val="22"/>
          <w:szCs w:val="22"/>
        </w:rPr>
        <w:t xml:space="preserve">20260419_a0_r_band_00_locator_map.pdf + band_11_sheet_identifier.pdf</w:t>
      </w:r>
    </w:p>
    <w:p>
      <w:pPr>
        <w:pStyle w:val="ListParagraph"/>
        <w:numPr>
          <w:ilvl w:val="0"/>
          <w:numId w:val="2"/>
        </w:numPr>
        <w:spacing w:after="40" w:before="40"/>
      </w:pPr>
      <w:r>
        <w:rPr>
          <w:sz w:val="22"/>
          <w:szCs w:val="22"/>
        </w:rPr>
        <w:t xml:space="preserve">20260419_a0_b_band_00_locator_map.pdf + band_11_sheet_identifier.pdf</w:t>
      </w:r>
    </w:p>
    <w:p>
      <w:pPr>
        <w:pStyle w:val="ListParagraph"/>
        <w:numPr>
          <w:ilvl w:val="0"/>
          <w:numId w:val="2"/>
        </w:numPr>
        <w:spacing w:after="40" w:before="40"/>
      </w:pPr>
      <w:r>
        <w:rPr>
          <w:sz w:val="22"/>
          <w:szCs w:val="22"/>
        </w:rPr>
        <w:t xml:space="preserve">20260419_a1_r_band_00_locator_map.pdf through band_13_confidentiality.pdf (14 files)</w:t>
      </w:r>
    </w:p>
    <w:p>
      <w:pPr>
        <w:pStyle w:val="ListParagraph"/>
        <w:numPr>
          <w:ilvl w:val="0"/>
          <w:numId w:val="2"/>
        </w:numPr>
        <w:spacing w:after="40" w:before="40"/>
      </w:pPr>
      <w:r>
        <w:rPr>
          <w:sz w:val="22"/>
          <w:szCs w:val="22"/>
        </w:rPr>
        <w:t xml:space="preserve">20260419_a1_b_band_00_locator_map.pdf through band_13_confidentiality.pdf (14 files)</w:t>
      </w:r>
    </w:p>
    <w:p>
      <w:pPr>
        <w:pStyle w:val="ListParagraph"/>
        <w:numPr>
          <w:ilvl w:val="0"/>
          <w:numId w:val="2"/>
        </w:numPr>
        <w:spacing w:after="40" w:before="40"/>
      </w:pPr>
      <w:r>
        <w:rPr>
          <w:sz w:val="22"/>
          <w:szCs w:val="22"/>
        </w:rPr>
        <w:t xml:space="preserve">20260419_a3_r_band_00_locator_map.pdf + band_11_sheet_identifier.pdf</w:t>
      </w:r>
    </w:p>
    <w:p>
      <w:pPr>
        <w:pStyle w:val="ListParagraph"/>
        <w:numPr>
          <w:ilvl w:val="0"/>
          <w:numId w:val="2"/>
        </w:numPr>
        <w:spacing w:after="40" w:before="40"/>
      </w:pPr>
      <w:r>
        <w:rPr>
          <w:sz w:val="22"/>
          <w:szCs w:val="22"/>
        </w:rPr>
        <w:t xml:space="preserve">20260419_a3_b_band_00_locator_map.pdf + band_11_sheet_identifier.pdf</w:t>
      </w:r>
    </w:p>
    <w:p>
      <w:pPr>
        <w:spacing w:after="80" w:before="40"/>
      </w:pPr>
      <w:r>
        <w:rPr>
          <w:i/>
          <w:iCs/>
          <w:color w:val="666666"/>
          <w:sz w:val="20"/>
          <w:szCs w:val="20"/>
        </w:rPr>
        <w:t xml:space="preserve">Bands 1-10, 12, 13 content is identical across sheet sizes. The A1 band PDFs serve as reference for all sheet sizes. Only the locator map and band 11 change per variant.</w:t>
      </w:r>
    </w:p>
    <w:p>
      <w:pPr>
        <w:pStyle w:val="Heading1"/>
        <w:pageBreakBefore/>
        <w:spacing w:after="180" w:before="360"/>
      </w:pPr>
      <w:r>
        <w:t xml:space="preserve">Appendix B. Related StingTools source files</w:t>
      </w:r>
    </w:p>
    <w:p>
      <w:pPr>
        <w:spacing w:after="60" w:before="60" w:line="300"/>
      </w:pPr>
      <w:r>
        <w:rPr>
          <w:sz w:val="22"/>
          <w:szCs w:val="22"/>
        </w:rPr>
        <w:t xml:space="preserve">Primary files modified or referenced during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File</w:t>
            </w:r>
          </w:p>
        </w:tc>
        <w:tc>
          <w:tcPr>
            <w:tcW w:type="dxa" w:w="576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Purpose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MR_PARAMETERS.txt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Shared parameter definitions. Append 19 new entries.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SharedParamGuids.cs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Named constants for all parameter GUIDs.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ParamRegistry.cs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Parameter-to-category binding.</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ParameterHelpers.cs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Helper methods including DeriveDiscFromSheetName.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TagConfig.cs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PreferredTitleBlockFamily setting.</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SheetManagerDialog.cs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Swap, Reset, Rescue existing commands.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BIMCoordinationCenter.cs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DeliverableRow class, CreateTransmittal action.</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IssueWizard.cs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Manual issue entry.</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StingCommandHandler.cs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Command dispatch for new commands.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StingLog.cs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Audit trail for all Title Block operations.</w:t>
            </w:r>
          </w:p>
        </w:tc>
      </w:tr>
    </w:tbl>
    <w:p>
      <w:pPr>
        <w:pStyle w:val="Heading1"/>
        <w:pageBreakBefore/>
        <w:spacing w:after="180" w:before="360"/>
      </w:pPr>
      <w: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Term</w:t>
            </w:r>
          </w:p>
        </w:tc>
        <w:tc>
          <w:tcPr>
            <w:tcW w:type="dxa" w:w="7360"/>
            <w:tcBorders>
              <w:top w:val="single" w:color="CCCCCC" w:sz="4"/>
              <w:left w:val="single" w:color="CCCCCC" w:sz="4"/>
              <w:bottom w:val="single" w:color="CCCCCC" w:sz="4"/>
              <w:right w:val="single" w:color="CCCCCC" w:sz="4"/>
            </w:tcBorders>
            <w:shd w:fill="0B3D66" w:color="auto" w:val="clear"/>
            <w:tcMar>
              <w:top w:type="dxa" w:w="80"/>
              <w:left w:type="dxa" w:w="120"/>
              <w:bottom w:type="dxa" w:w="80"/>
              <w:right w:type="dxa" w:w="120"/>
            </w:tcMar>
          </w:tcPr>
          <w:p>
            <w:r>
              <w:rPr>
                <w:b/>
                <w:bCs/>
                <w:color w:val="FFFFFF"/>
                <w:sz w:val="20"/>
                <w:szCs w:val="20"/>
              </w:rPr>
              <w:t xml:space="preserve">Meaning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BCC</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BIM Coordination Centre — the StingTools dashboard managing issues, revisions, and deliverables.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CDE</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Common Data Environment, per ISO 19650.</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Deliverable</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 formal CDE-bound document submission: drawing, model, schedule, or report.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DeliverableRow</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BCC data class tracking deliverables (not to be confused with IssueRow).</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IssueRow</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BCC data class tracking RFIs, clashes, coordination comments.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Legend view</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 Revit view type that can be placed on multiple sheets. Used for notes in Option C discipline switching.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Option C</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The discipline switching approach that uses legend views, rather than family types or embedded visibility parameters.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R-strip / B-strip</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Right-vertical strip / bottom-horizontal strip. Determines the reading direction without rotating the paper.</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SHT_TAG_1_TXT</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Pre-existing StingTools parameter holding the assembled ISO 19650 document code.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Suitability code</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ISO 19650 state code (S0-S7, A1-A3) indicating the document's maturity.</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Transmittal</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Formal issue of one or more deliverables to a named recipient, with audit trail.</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Variant</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One of the six title block types (A0-R, A0-B, A1-R, A1-B, A3-R, A3-B).</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STING Title Block System —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B3D6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B3D6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STING Title Block System — Specification and Implementation Guide</dc:title>
  <dc:creator>Author</dc:creator>
  <cp:lastModifiedBy>Un-named</cp:lastModifiedBy>
  <cp:revision>1</cp:revision>
  <dcterms:created xsi:type="dcterms:W3CDTF">2026-04-20T06:21:35.461Z</dcterms:created>
  <dcterms:modified xsi:type="dcterms:W3CDTF">2026-04-20T06:21:35.466Z</dcterms:modified>
</cp:coreProperties>
</file>

<file path=docProps/custom.xml><?xml version="1.0" encoding="utf-8"?>
<Properties xmlns="http://schemas.openxmlformats.org/officeDocument/2006/custom-properties" xmlns:vt="http://schemas.openxmlformats.org/officeDocument/2006/docPropsVTypes"/>
</file>