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STINKIN’ SUPPLIES — MASTER REFERENCE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Last Updated: June 3, 2026 (Thirty-Seventh Pass)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Database: Hetzner Postgres — stinkin_catalog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Status: Catalog rebuilt ✅ | Fitment rebuilt ✅ | Search indexed ✅ | Nav redesigned ✅ | Category taxonomy normalized ✅ | VTwin fitment partial imported ✅ | VTwin images backfilled ✅ | OEM crossref expanded ✅ | OEM catalog bridge built ✅ | Name extraction fitment built ✅ | /models FlowingMenu built ✅ | mv_family_product_ranges mat view created ✅</w:t>
      </w:r>
    </w:p>
    <w:p>
      <w:pPr>
        <w:pBdr>
          <w:bottom w:val="single" w:color="C9960A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NEW THIS SESSION — June 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mv_family_product_ranges Materialized View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Created to fix 9s query on /models/[family]/parts route. Pre-aggregates per-family product year ranges. 81,332 rows. Two indexes: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CREATE INDEX ON mv_family_product_ranges (family_name);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CREATE INDEX ON mv_family_product_ranges (family_name, display_category, display_subcategory);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Refresh command (runs automatically in index_unified.js after Typesense reindex):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REFRESH MATERIALIZED VIEW CONCURRENTLY mv_family_product_ranges;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Query (replaces old parts route JOIN across 4.9M fitment rows):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SELECT display_category, display_subcategory,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MIN(year_start), MAX(year_end), COUNT(*)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FROM mv_family_product_ranges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WHERE family_name = $1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GROUP BY display_category, display_subcategory;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/models Page — FlowingMenu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app/models/page.jsx rebuilt using FlowingMenu component. Zero API calls. Static family definitions only. Families: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touring · softail · dyna · sportster · fxr · shovelhead · vintage · trike · v-rod · all-makes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"All Makes" (was "Street") routes to /browse?universal=true — not /models/street.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Bike images at public/images/models/{slug}.jpg — 400x160px recommended, touring.jpg complete.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Font System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Two new CSS variables added in layout.tsx: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• --font-tanker → public/fonts/Tanker-Regular.ttf (Fontshare) — FlowingMenu family names + marquee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• --font-bespoke → public/fonts/BespokeSerif-Regular.ttf (Fontshare) — page headers + category headings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Both files must exist locally — not yet committed. Download from Fontshare kit link.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208"/>
          <w:sz w:val="22"/>
          <w:szCs w:val="22"/>
        </w:rPr>
        <w:t xml:space="preserve">Parts Route — /api/models/[family]/parts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Rewritten to query mv_family_product_ranges. Era resolution moved to JS using cached hd_engine_types rows (15 rows, cached in module scope). Route: app/api/models/[family]/parts/route.ts. Uses getCatalogDb() from @/lib/db/catalog.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Performance: 496ms cold start, 83ms cached (was 9.5s).</w:t>
      </w:r>
    </w:p>
    <w:p>
      <w:pPr>
        <w:pBdr>
          <w:bottom w:val="single" w:color="C9960A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/MODELS/[FAMILY] PARTS CATALOG — UPDATED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0A"/>
                <w:sz w:val="18"/>
                <w:szCs w:val="18"/>
              </w:rPr>
              <w:t xml:space="preserve">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0A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0A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/models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app/models/page.jsx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FlowingMenu family index — static, zero API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/models/[family]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app/models/[family]/page.jsx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Server shell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/models/[family]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app/models/[family]/ModelCatalogClient.jsx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Client — era chips, category accordion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app/api/models/[family]/parts/route.ts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Queries mv_family_product_ranges — 83ms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Supported families: touring · softail · dyna · sportster · fxr · shovelhead · vintage · trike · v-rod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Vintage = Panhead + Knucklehead + Flathead. API uses hf.name = ANY($1::text[]).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"All Makes" (street slug) bypasses ModelCatalogClient — routes directly to /browse?universal=true.</w:t>
      </w:r>
    </w:p>
    <w:p>
      <w:pPr>
        <w:pBdr>
          <w:bottom w:val="single" w:color="C9960A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CATALOG PIPELINE — UPDATED STEP 15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Step 15 (index_unified.js --recreate) now also runs: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REFRESH MATERIALIZED VIEW CONCURRENTLY mv_family_product_ranges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This is automatic — no manual step needed after ingest.</w:t>
      </w:r>
    </w:p>
    <w:p>
      <w:pPr>
        <w:pBdr>
          <w:bottom w:val="single" w:color="C9960A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208"/>
          <w:sz w:val="24"/>
          <w:szCs w:val="24"/>
        </w:rPr>
        <w:t xml:space="preserve">OPERATIONAL GOTCHAS — 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0A"/>
                <w:sz w:val="18"/>
                <w:szCs w:val="18"/>
              </w:rPr>
              <w:t xml:space="preserve">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0A"/>
                <w:sz w:val="18"/>
                <w:szCs w:val="18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mv_family_product_ranges stale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Run REFRESH MATERIALIZED VIEW CONCURRENTLY mv_family_product_ranges after any fitment import. Auto-runs in index_unified.js.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Tanker/Bespoke fonts missing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Files must exist at public/fonts/Tanker-Regular.ttf + BespokeSerif-Regular.ttf. Download from Fontshare. Not in git.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FlowingMenu hydration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Seeded random sr() function ensures SSR + client produce identical row configs. Never use Math.random() in row config.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FlowingMenu GSAP timing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120ms setTimeout before measuring scrollWidth — images need time to affect layout. Do not reduce.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"All Makes" family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18"/>
                <w:szCs w:val="18"/>
              </w:rPr>
              <w:t xml:space="preserve">Slug is still "street" in FAMILIES array. Routes to /browse?universal=true, not /models/street. No parts API route needed.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2026-06-03T23:33:30.741Z</dcterms:created>
  <dcterms:modified xsi:type="dcterms:W3CDTF">2026-06-03T23:33:30.741Z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