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2/20/2024</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Dylan Stirling</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Refactored Code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include your findings. </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Two Guidelines and Rubric for more detailed instructions about each section of the template.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Dylan Stirling</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Cipher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Artemis Financial is committed to ensuring the security of their clients' data and financial information within their web application. To achieve this goal, they are looking for a strong encryption algorithm. The SHA-256 cipher algorithm featuring 256-bit keys is highly recommended for this purpose. Part of the SHA-2 family, SHA-256 is a well-known algorithm that is highly secure and suitable for ensuring secure communication and data verification.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SHA-256 operates as a one-way hash function, generating a fixed-size hash value of 256 bits. This ensures that it is resistant to collisions and provides protection against data tampering. Unlike encryption algorithms that rely on keys, SHA-256 operates independently of random numbers or symmetric/non-symmetric keys. It functions deterministically on input data to yield the hash 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SHA-256 was developed by the National Security Agency (NSA) and standardized by the National Institute of Standards and Technology (NIST). It has been widely adopted and is renowned for its resilience against known cryptographic attacks. Its robustness and proven track record make SHA-256 the optimal choice for safeguarding sensitive information within Artemis Financial's web application. This aligns seamlessly with the company's unwavering dedication to upholding the highest levels of security for their clients' financial data.</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CER file.</w:t>
      </w:r>
    </w:p>
    <w:p>
      <w:pPr>
        <w:spacing w:before="0" w:after="0" w:line="240"/>
        <w:ind w:right="0" w:left="0" w:firstLine="0"/>
        <w:jc w:val="left"/>
        <w:rPr>
          <w:rFonts w:ascii="Calibri" w:hAnsi="Calibri" w:cs="Calibri" w:eastAsia="Calibri"/>
          <w:color w:val="auto"/>
          <w:spacing w:val="0"/>
          <w:position w:val="0"/>
          <w:sz w:val="24"/>
          <w:shd w:fill="auto" w:val="clear"/>
        </w:rPr>
      </w:pPr>
      <w:r>
        <w:object w:dxaOrig="8798" w:dyaOrig="4160">
          <v:rect xmlns:o="urn:schemas-microsoft-com:office:office" xmlns:v="urn:schemas-microsoft-com:vml" id="rectole0000000002" style="width:439.900000pt;height:208.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4"/>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checksum verification.</w:t>
      </w:r>
    </w:p>
    <w:p>
      <w:pPr>
        <w:spacing w:before="0" w:after="0" w:line="240"/>
        <w:ind w:right="0" w:left="0" w:firstLine="0"/>
        <w:jc w:val="left"/>
        <w:rPr>
          <w:rFonts w:ascii="Calibri" w:hAnsi="Calibri" w:cs="Calibri" w:eastAsia="Calibri"/>
          <w:color w:val="auto"/>
          <w:spacing w:val="0"/>
          <w:position w:val="0"/>
          <w:sz w:val="24"/>
          <w:shd w:fill="auto" w:val="clear"/>
        </w:rPr>
      </w:pPr>
      <w:r>
        <w:object w:dxaOrig="8870" w:dyaOrig="1108">
          <v:rect xmlns:o="urn:schemas-microsoft-com:office:office" xmlns:v="urn:schemas-microsoft-com:vml" id="rectole0000000003" style="width:443.500000pt;height:55.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Secure Communications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web browser that shows a secure webpage.</w:t>
      </w:r>
    </w:p>
    <w:p>
      <w:pPr>
        <w:spacing w:before="0" w:after="0" w:line="240"/>
        <w:ind w:right="0" w:left="0" w:firstLine="0"/>
        <w:jc w:val="left"/>
        <w:rPr>
          <w:rFonts w:ascii="Calibri" w:hAnsi="Calibri" w:cs="Calibri" w:eastAsia="Calibri"/>
          <w:color w:val="auto"/>
          <w:spacing w:val="0"/>
          <w:position w:val="0"/>
          <w:sz w:val="24"/>
          <w:shd w:fill="auto" w:val="clear"/>
        </w:rPr>
      </w:pPr>
      <w:r>
        <w:object w:dxaOrig="8985" w:dyaOrig="1108">
          <v:rect xmlns:o="urn:schemas-microsoft-com:office:office" xmlns:v="urn:schemas-microsoft-com:vml" id="rectole0000000004" style="width:449.250000pt;height:55.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6912" w:dyaOrig="2390">
          <v:rect xmlns:o="urn:schemas-microsoft-com:office:office" xmlns:v="urn:schemas-microsoft-com:vml" id="rectole0000000005" style="width:345.600000pt;height:119.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screenshots below of the refactored code executed without errors and the dependency-check report.</w:t>
      </w:r>
    </w:p>
    <w:p>
      <w:pPr>
        <w:spacing w:before="0" w:after="0" w:line="240"/>
        <w:ind w:right="0" w:left="0" w:firstLine="0"/>
        <w:jc w:val="left"/>
        <w:rPr>
          <w:rFonts w:ascii="Calibri" w:hAnsi="Calibri" w:cs="Calibri" w:eastAsia="Calibri"/>
          <w:color w:val="auto"/>
          <w:spacing w:val="0"/>
          <w:position w:val="0"/>
          <w:sz w:val="24"/>
          <w:shd w:fill="auto" w:val="clear"/>
        </w:rPr>
      </w:pPr>
      <w:r>
        <w:object w:dxaOrig="7516" w:dyaOrig="7167">
          <v:rect xmlns:o="urn:schemas-microsoft-com:office:office" xmlns:v="urn:schemas-microsoft-com:vml" id="rectole0000000006" style="width:375.800000pt;height:358.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4"/>
          <w:shd w:fill="auto" w:val="clear"/>
        </w:rPr>
      </w:pPr>
      <w:r>
        <w:object w:dxaOrig="7832" w:dyaOrig="3312">
          <v:rect xmlns:o="urn:schemas-microsoft-com:office:office" xmlns:v="urn:schemas-microsoft-com:vml" id="rectole0000000007" style="width:391.600000pt;height:165.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refactored code executed without errors.</w:t>
      </w:r>
    </w:p>
    <w:p>
      <w:pPr>
        <w:spacing w:before="0" w:after="0" w:line="240"/>
        <w:ind w:right="0" w:left="0" w:firstLine="0"/>
        <w:jc w:val="left"/>
        <w:rPr>
          <w:rFonts w:ascii="Calibri" w:hAnsi="Calibri" w:cs="Calibri" w:eastAsia="Calibri"/>
          <w:color w:val="auto"/>
          <w:spacing w:val="0"/>
          <w:position w:val="0"/>
          <w:sz w:val="24"/>
          <w:shd w:fill="auto" w:val="clear"/>
        </w:rPr>
      </w:pPr>
      <w:r>
        <w:object w:dxaOrig="6912" w:dyaOrig="6595">
          <v:rect xmlns:o="urn:schemas-microsoft-com:office:office" xmlns:v="urn:schemas-microsoft-com:vml" id="rectole0000000008" style="width:345.600000pt;height:329.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Artemis Financial application's code underwent refactoring to address several critical security vulnerabilities, aligning with industry-standard best practices for secure software development and security testing protocols. Robust error handling and input validation mechanisms were implemented to reduce the potential risks of unauthorized access and data tampering. The previous reliance on a static data string for hashing was identified as a weakness and was remedied by modifying the getHash method to accept input data for hashing. This reduced the risk of injection attacks and ensured that only valid data is processed. The refactored code employs the SHA-256 hashing algorithm and implements secure hashing techniques, adhering to industry-standard best practices. Overall, prioritizing security throughout the refactoring process strengthens the application's resilience against emerging cyber threats, mitigates known vulnerabilities, and maintains the current security standards, safeguarding both the company's assets and its stakeholders' trust.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Industry Standard Best Practices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refactored code has incorporated proper error handling, stringent input validation, and secure hashing techniques like the SHA-256 algorithm. This ensures that the software application adheres to industry-standard best practices for secure coding, which enhances the overall wellbeing of the company. By paying meticulous attention to detail, the code mitigates known security vulnerabilities, minimizes the risk of unauthorized access and data tampering, and fortifies the application against cryptographic attacks and data breaches. Taking a proactive approach like this not only safeguards sensitive information and preserves brand reputation, but also fosters trust among stakeholders including customers, partners, and regulatory bodies. By doing so, it positions the company as a reliable and credible entity in the market, ready for sustained growth.</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2">
    <w:abstractNumId w:val="48"/>
  </w:num>
  <w:num w:numId="17">
    <w:abstractNumId w:val="42"/>
  </w:num>
  <w:num w:numId="22">
    <w:abstractNumId w:val="36"/>
  </w:num>
  <w:num w:numId="24">
    <w:abstractNumId w:val="30"/>
  </w:num>
  <w:num w:numId="26">
    <w:abstractNumId w:val="24"/>
  </w:num>
  <w:num w:numId="28">
    <w:abstractNumId w:val="18"/>
  </w:num>
  <w:num w:numId="30">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