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sparrow</w:t>
      </w:r>
      <w:r>
        <w:t xml:space="preserve"> </w:t>
      </w:r>
      <w:r>
        <w:t xml:space="preserve">body</w:t>
      </w:r>
      <w:r>
        <w:t xml:space="preserve"> </w:t>
      </w:r>
      <w:r>
        <w:t xml:space="preserve">length</w:t>
      </w:r>
      <w:r>
        <w:t xml:space="preserve"> </w:t>
      </w:r>
      <w:r>
        <w:t xml:space="preserve">decreases</w:t>
      </w:r>
      <w:r>
        <w:t xml:space="preserve"> </w:t>
      </w:r>
      <w:r>
        <w:t xml:space="preserve">survival</w:t>
      </w:r>
    </w:p>
    <w:p>
      <w:pPr>
        <w:pStyle w:val="Subtitle"/>
      </w:pPr>
      <w:r>
        <w:t xml:space="preserve">A</w:t>
      </w:r>
      <w:r>
        <w:t xml:space="preserve"> </w:t>
      </w:r>
      <w:r>
        <w:t xml:space="preserve">demonstration</w:t>
      </w:r>
      <w:r>
        <w:t xml:space="preserve"> </w:t>
      </w:r>
      <w:r>
        <w:t xml:space="preserve">of</w:t>
      </w:r>
      <w:r>
        <w:t xml:space="preserve"> </w:t>
      </w:r>
      <w:r>
        <w:t xml:space="preserve">Rmarkdown</w:t>
      </w:r>
      <w:r>
        <w:t xml:space="preserve"> </w:t>
      </w:r>
      <w:r>
        <w:t xml:space="preserve">using</w:t>
      </w:r>
      <w:r>
        <w:t xml:space="preserve"> </w:t>
      </w:r>
      <w:r>
        <w:t xml:space="preserve">Herman</w:t>
      </w:r>
      <w:r>
        <w:t xml:space="preserve"> </w:t>
      </w:r>
      <w:r>
        <w:t xml:space="preserve">Bumpus’</w:t>
      </w:r>
      <w:r>
        <w:t xml:space="preserve"> </w:t>
      </w:r>
      <w:r>
        <w:t xml:space="preserve">data</w:t>
      </w:r>
    </w:p>
    <w:p>
      <w:pPr>
        <w:pStyle w:val="Author"/>
      </w:pPr>
      <w:r>
        <w:t xml:space="preserve">Brad</w:t>
      </w:r>
      <w:r>
        <w:t xml:space="preserve"> </w:t>
      </w:r>
      <w:r>
        <w:t xml:space="preserve">Duthie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p>
    <w:bookmarkStart w:id="21" w:name="abstract"/>
    <w:p>
      <w:pPr>
        <w:pStyle w:val="Heading1"/>
      </w:pPr>
      <w:r>
        <w:t xml:space="preserve">Abstract</w:t>
      </w:r>
    </w:p>
    <w:p>
      <w:pPr>
        <w:pStyle w:val="FirstParagraph"/>
      </w:pPr>
      <w:r>
        <w:t xml:space="preserve">Writing documents in Rmarkdown using Rstudio can make scientific workflow more efficient, and here I demonstrate how a scientific manuscript can be written using a classical data set first published by Herman Bumpus. I integrate Bumpus’ data with Rmarkdown to produce a sample manuscript, testing whether or not sparrow body length decreases survival following a storm in southern New England. Using a t-test, I show that surviving birds have lower body length than birds that do not survive. All analyses of data are incorporated into the underlying Rmarkdown document, including figures and a table. References are incorporated using BibTeX. The underlying code for this manuscript is publicly available</w:t>
      </w:r>
      <w:r>
        <w:t xml:space="preserve"> </w:t>
      </w:r>
      <w:hyperlink r:id="rId20">
        <w:r>
          <w:rPr>
            <w:rStyle w:val="Hyperlink"/>
          </w:rPr>
          <w:t xml:space="preserve">on GitHub</w:t>
        </w:r>
      </w:hyperlink>
      <w:r>
        <w:t xml:space="preserve"> </w:t>
      </w:r>
      <w:r>
        <w:t xml:space="preserve">as part of the Stirling Coding Club organisation.</w:t>
      </w:r>
    </w:p>
    <w:bookmarkEnd w:id="21"/>
    <w:bookmarkStart w:id="22" w:name="introduction"/>
    <w:p>
      <w:pPr>
        <w:pStyle w:val="Heading1"/>
      </w:pPr>
      <w:r>
        <w:t xml:space="preserve">Introduction</w:t>
      </w:r>
    </w:p>
    <w:p>
      <w:pPr>
        <w:pStyle w:val="FirstParagraph"/>
      </w:pPr>
      <w:r>
        <w:t xml:space="preserve">In the late 1800s, there was a particularly severe snowstorm in Providence, Rhode Island. At the time, Herman Bumpus was a professor of comparative zoology at Brown University. Bumpus noticed that the storm had a particularly negative effect on the local sparrow population (</w:t>
      </w:r>
      <w:r>
        <w:rPr>
          <w:iCs/>
          <w:i/>
        </w:rPr>
        <w:t xml:space="preserve">Passer domesticus</w:t>
      </w:r>
      <w:r>
        <w:t xml:space="preserve">) and decided to use the event to test Charle’s Darwin’s theory of natural selection</w:t>
      </w:r>
      <w:r>
        <w:t xml:space="preserve"> </w:t>
      </w:r>
      <w:r>
        <w:t xml:space="preserve">(</w:t>
      </w:r>
      <w:hyperlink w:anchor="ref-Darwin1859">
        <w:r>
          <w:rPr>
            <w:rStyle w:val="Hyperlink"/>
          </w:rPr>
          <w:t xml:space="preserve">Darwin 1859</w:t>
        </w:r>
      </w:hyperlink>
      <w:r>
        <w:t xml:space="preserve">)</w:t>
      </w:r>
      <w:r>
        <w:t xml:space="preserve">. Bumpus collected 136 sparrows; some of these sparrows survived the storm, while others perished.</w:t>
      </w:r>
      <w:r>
        <w:t xml:space="preserve"> </w:t>
      </w:r>
      <w:r>
        <w:t xml:space="preserve">Bumpus (</w:t>
      </w:r>
      <w:hyperlink w:anchor="ref-Bumpus1898">
        <w:r>
          <w:rPr>
            <w:rStyle w:val="Hyperlink"/>
          </w:rPr>
          <w:t xml:space="preserve">1898</w:t>
        </w:r>
      </w:hyperlink>
      <w:r>
        <w:t xml:space="preserve">)</w:t>
      </w:r>
      <w:r>
        <w:t xml:space="preserve"> </w:t>
      </w:r>
      <w:r>
        <w:t xml:space="preserve">published a paper and all of the data that he had collected. These data are now a classic data set in biology, and have been analysed multiple times</w:t>
      </w:r>
      <w:r>
        <w:t xml:space="preserve"> </w:t>
      </w:r>
      <w:r>
        <w:t xml:space="preserve">(e.g.,</w:t>
      </w:r>
      <w:r>
        <w:t xml:space="preserve"> </w:t>
      </w:r>
      <w:hyperlink w:anchor="ref-Johnston1972">
        <w:r>
          <w:rPr>
            <w:rStyle w:val="Hyperlink"/>
          </w:rPr>
          <w:t xml:space="preserve">Johnston et al. 1972</w:t>
        </w:r>
      </w:hyperlink>
      <w:r>
        <w:t xml:space="preserve">)</w:t>
      </w:r>
      <w:r>
        <w:t xml:space="preserve">. Here I will use Bumpus’ data to demonstrate how to write a scientific manuscript in Rmarkdown.</w:t>
      </w:r>
    </w:p>
    <w:p>
      <w:pPr>
        <w:pStyle w:val="TextBody"/>
      </w:pPr>
      <w:r>
        <w:t xml:space="preserve">The focus of this manuscript is therefore not on Bumpus’ data or survival of sparrows</w:t>
      </w:r>
      <w:r>
        <w:t xml:space="preserve"> </w:t>
      </w:r>
      <w:r>
        <w:rPr>
          <w:iCs/>
          <w:i/>
        </w:rPr>
        <w:t xml:space="preserve">per se</w:t>
      </w:r>
      <w:r>
        <w:t xml:space="preserve">, but the process of scientific writing using Rmarkdown. I have chosen the Bumpus data set because it provides a useful tool for working through most key features of Rmarkdown that scientists might want to use when writing a manuscript. The example question that I will address through this data set and R analysis in Rmarkdown is whether or not increasing sparrow body length is associated with decreased survival following a storm.</w:t>
      </w:r>
    </w:p>
    <w:bookmarkEnd w:id="22"/>
    <w:bookmarkStart w:id="26" w:name="methods"/>
    <w:p>
      <w:pPr>
        <w:pStyle w:val="Heading1"/>
      </w:pPr>
      <w:r>
        <w:t xml:space="preserve">Methods</w:t>
      </w:r>
    </w:p>
    <w:p>
      <w:pPr>
        <w:pStyle w:val="FirstParagraph"/>
      </w:pPr>
      <w:r>
        <w:t xml:space="preserve">Bumpus focused his study on the House Sparrow (</w:t>
      </w:r>
      <w:r>
        <w:rPr>
          <w:iCs/>
          <w:i/>
        </w:rPr>
        <w:t xml:space="preserve">Passer domesticus</w:t>
      </w:r>
      <w:r>
        <w:t xml:space="preserve">; see Figure 1), which has a very wide global distribution. It is native to Europe and Asia, but not the Americas where Bumpus collected his original study</w:t>
      </w:r>
      <w:r>
        <w:t xml:space="preserve"> </w:t>
      </w:r>
      <w:r>
        <w:t xml:space="preserve">(</w:t>
      </w:r>
      <w:hyperlink w:anchor="ref-Bumpus1898">
        <w:r>
          <w:rPr>
            <w:rStyle w:val="Hyperlink"/>
          </w:rPr>
          <w:t xml:space="preserve">Bumpus 1898</w:t>
        </w:r>
      </w:hyperlink>
      <w:r>
        <w:t xml:space="preserve">)</w:t>
      </w:r>
      <w:r>
        <w:t xml:space="preserve">. In addition to measuring total length and survival for 136 sparrows, Bumpus measured sparrow sex, wingspan, and mass, and also the length of each sparrow’s head, humerus, tibiotarsus, skull, and sternum. While modern ornithologists believe that the total body length measurement that I will use today is subject to high observational error</w:t>
      </w:r>
      <w:r>
        <w:t xml:space="preserve"> </w:t>
      </w:r>
      <w:r>
        <w:t xml:space="preserve">(</w:t>
      </w:r>
      <w:hyperlink w:anchor="ref-Johnston1972">
        <w:r>
          <w:rPr>
            <w:rStyle w:val="Hyperlink"/>
          </w:rPr>
          <w:t xml:space="preserve">Johnston et al. 1972</w:t>
        </w:r>
      </w:hyperlink>
      <w:r>
        <w:t xml:space="preserve">)</w:t>
      </w:r>
      <w:r>
        <w:t xml:space="preserve">, it will be more than sufficient for demonstrating Rmarkdown.</w:t>
      </w:r>
    </w:p>
    <w:p>
      <w:pPr>
        <w:pStyle w:val="CaptionedFigure"/>
      </w:pPr>
      <w:r>
        <w:drawing>
          <wp:inline>
            <wp:extent cx="914400" cy="1033272"/>
            <wp:effectExtent b="0" l="0" r="0" t="0"/>
            <wp:docPr descr="Passer domesticus" title="" id="24" name="Picture"/>
            <a:graphic>
              <a:graphicData uri="http://schemas.openxmlformats.org/drawingml/2006/picture">
                <pic:pic>
                  <pic:nvPicPr>
                    <pic:cNvPr descr="images/sparrow.jpg" id="25" name="Picture"/>
                    <pic:cNvPicPr>
                      <a:picLocks noChangeArrowheads="1" noChangeAspect="1"/>
                    </pic:cNvPicPr>
                  </pic:nvPicPr>
                  <pic:blipFill>
                    <a:blip r:embed="rId23"/>
                    <a:stretch>
                      <a:fillRect/>
                    </a:stretch>
                  </pic:blipFill>
                  <pic:spPr bwMode="auto">
                    <a:xfrm>
                      <a:off x="0" y="0"/>
                      <a:ext cx="914400" cy="1033272"/>
                    </a:xfrm>
                    <a:prstGeom prst="rect">
                      <a:avLst/>
                    </a:prstGeom>
                    <a:noFill/>
                    <a:ln w="9525">
                      <a:noFill/>
                      <a:headEnd/>
                      <a:tailEnd/>
                    </a:ln>
                  </pic:spPr>
                </pic:pic>
              </a:graphicData>
            </a:graphic>
          </wp:inline>
        </w:drawing>
      </w:r>
    </w:p>
    <w:p>
      <w:pPr>
        <w:pStyle w:val="ImageCaption"/>
      </w:pPr>
      <w:r>
        <w:rPr>
          <w:iCs/>
          <w:i/>
        </w:rPr>
        <w:t xml:space="preserve">Passer domesticus</w:t>
      </w:r>
    </w:p>
    <w:p>
      <w:pPr>
        <w:pStyle w:val="TextBody"/>
      </w:pPr>
      <w:r>
        <w:t xml:space="preserve">I performed an independent two-sample student’s t-test on sparrow total body length to test whether or not sparrows that died in the 1898 storm were larger than sparrows that survived. I assume that both groups of sparrows (dead and living) have equal variances, so the test statistic</w:t>
      </w:r>
      <w:r>
        <w:t xml:space="preserve"> </w:t>
      </w:r>
      <m:oMath>
        <m:r>
          <m:t>t</m:t>
        </m:r>
      </m:oMath>
      <w:r>
        <w:t xml:space="preserve"> </w:t>
      </w:r>
      <w:r>
        <w:t xml:space="preserve">is calculated as follows,</w:t>
      </w:r>
    </w:p>
    <w:p>
      <w:pPr>
        <w:pStyle w:val="TextBody"/>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
                <m:rPr>
                  <m:sty m:val="p"/>
                </m:rPr>
                <m: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r>
            <m:rPr>
              <m:sty m:val="p"/>
            </m:rPr>
            <m:t>.</m:t>
          </m:r>
        </m:oMath>
      </m:oMathPara>
    </w:p>
    <w:p>
      <w:pPr>
        <w:pStyle w:val="FirstParagraph"/>
      </w:pPr>
      <w:r>
        <w:t xml:space="preserve">In the above,</w:t>
      </w:r>
      <w:r>
        <w:t xml:space="preserve"> </w:t>
      </w:r>
      <m:oMath>
        <m:sSub>
          <m:e>
            <m:acc>
              <m:accPr>
                <m:chr m:val="‾"/>
              </m:accPr>
              <m:e>
                <m:r>
                  <m:t>X</m:t>
                </m:r>
              </m:e>
            </m:acc>
          </m:e>
          <m:sub>
            <m:r>
              <m:t>1</m:t>
            </m:r>
          </m:sub>
        </m:sSub>
      </m:oMath>
      <w:r>
        <w:t xml:space="preserve"> </w:t>
      </w:r>
      <w:r>
        <w:t xml:space="preserve">and</w:t>
      </w:r>
      <w:r>
        <w:t xml:space="preserve"> </w:t>
      </w:r>
      <m:oMath>
        <m:sSub>
          <m:e>
            <m:acc>
              <m:accPr>
                <m:chr m:val="‾"/>
              </m:accPr>
              <m:e>
                <m:r>
                  <m:t>X</m:t>
                </m:r>
              </m:e>
            </m:acc>
          </m:e>
          <m:sub>
            <m:r>
              <m:t>2</m:t>
            </m:r>
          </m:sub>
        </m:sSub>
      </m:oMath>
      <w:r>
        <w:t xml:space="preserve"> </w:t>
      </w:r>
      <w:r>
        <w:t xml:space="preserve">are the mean of the samples of sparrows that died and lived, respectively. Similarly,</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of sparrows that died and lived, and</w:t>
      </w:r>
      <w:r>
        <w:t xml:space="preserve"> </w:t>
      </w:r>
      <m:oMath>
        <m:sSub>
          <m:e>
            <m:r>
              <m:t>s</m:t>
            </m:r>
          </m:e>
          <m:sub>
            <m:r>
              <m:t>p</m:t>
            </m:r>
          </m:sub>
        </m:sSub>
      </m:oMath>
      <w:r>
        <w:t xml:space="preserve"> </w:t>
      </w:r>
      <w:r>
        <w:t xml:space="preserve">is the pooled sample mean, which is calculated as follows,</w:t>
      </w:r>
    </w:p>
    <w:p>
      <w:pPr>
        <w:pStyle w:val="TextBody"/>
      </w:pPr>
      <m:oMathPara>
        <m:oMathParaPr>
          <m:jc m:val="center"/>
        </m:oMathParaPr>
        <m:oMath>
          <m:sSub>
            <m:e>
              <m:r>
                <m:t>s</m:t>
              </m:r>
            </m:e>
            <m:sub>
              <m:r>
                <m:t>p</m:t>
              </m:r>
            </m:sub>
          </m:sSub>
          <m:r>
            <m:rPr>
              <m:sty m:val="p"/>
            </m:rPr>
            <m:t>=</m:t>
          </m:r>
          <m:rad>
            <m:radPr>
              <m:degHide m:val="1"/>
            </m:radPr>
            <m:deg/>
            <m:e>
              <m:f>
                <m:fPr>
                  <m:type m:val="bar"/>
                </m:fPr>
                <m:num>
                  <m:sSubSup>
                    <m:e>
                      <m:r>
                        <m:t>s</m:t>
                      </m:r>
                    </m:e>
                    <m:sub>
                      <m:sSub>
                        <m:e>
                          <m:r>
                            <m:t>X</m:t>
                          </m:r>
                        </m:e>
                        <m:sub>
                          <m:r>
                            <m:t>1</m:t>
                          </m:r>
                        </m:sub>
                      </m:sSub>
                    </m:sub>
                    <m:sup>
                      <m:r>
                        <m:t>2</m:t>
                      </m:r>
                    </m:sup>
                  </m:sSubSup>
                  <m:r>
                    <m:rPr>
                      <m:sty m:val="p"/>
                    </m:rPr>
                    <m:t>+</m:t>
                  </m:r>
                  <m:sSubSup>
                    <m:e>
                      <m:r>
                        <m:t>s</m:t>
                      </m:r>
                    </m:e>
                    <m:sub>
                      <m:sSub>
                        <m:e>
                          <m:r>
                            <m:t>X</m:t>
                          </m:r>
                        </m:e>
                        <m:sub>
                          <m:r>
                            <m:t>2</m:t>
                          </m:r>
                        </m:sub>
                      </m:sSub>
                    </m:sub>
                    <m:sup>
                      <m:r>
                        <m:t>2</m:t>
                      </m:r>
                    </m:sup>
                  </m:sSubSup>
                </m:num>
                <m:den>
                  <m:r>
                    <m:t>2</m:t>
                  </m:r>
                </m:den>
              </m:f>
            </m:e>
          </m:rad>
          <m:r>
            <m:rPr>
              <m:sty m:val="p"/>
            </m:rPr>
            <m:t>.</m:t>
          </m:r>
        </m:oMath>
      </m:oMathPara>
    </w:p>
    <w:p>
      <w:pPr>
        <w:pStyle w:val="FirstParagraph"/>
      </w:pPr>
      <w:r>
        <w:t xml:space="preserve">In the above, the</w:t>
      </w:r>
      <w:r>
        <w:t xml:space="preserve"> </w:t>
      </w:r>
      <m:oMath>
        <m:sSubSup>
          <m:e>
            <m:r>
              <m:t>s</m:t>
            </m:r>
          </m:e>
          <m:sub>
            <m:sSub>
              <m:e>
                <m:r>
                  <m:t>X</m:t>
                </m:r>
              </m:e>
              <m:sub>
                <m:r>
                  <m:t>1</m:t>
                </m:r>
              </m:sub>
            </m:sSub>
          </m:sub>
          <m:sup>
            <m:r>
              <m:t>2</m:t>
            </m:r>
          </m:sup>
        </m:sSubSup>
      </m:oMath>
      <w:r>
        <w:t xml:space="preserve"> </w:t>
      </w:r>
      <w:r>
        <w:t xml:space="preserve">and</w:t>
      </w:r>
      <w:r>
        <w:t xml:space="preserve"> </w:t>
      </w:r>
      <m:oMath>
        <m:sSubSup>
          <m:e>
            <m:r>
              <m:t>s</m:t>
            </m:r>
          </m:e>
          <m:sub>
            <m:sSub>
              <m:e>
                <m:r>
                  <m:t>X</m:t>
                </m:r>
              </m:e>
              <m:sub>
                <m:r>
                  <m:t>2</m:t>
                </m:r>
              </m:sub>
            </m:sSub>
          </m:sub>
          <m:sup>
            <m:r>
              <m:t>2</m:t>
            </m:r>
          </m:sup>
        </m:sSubSup>
      </m:oMath>
      <w:r>
        <w:t xml:space="preserve"> </w:t>
      </w:r>
      <w:r>
        <w:t xml:space="preserve">are the sample standard deviations for sparrows that died and lived, respectively. I conduceted the two sample t-test using the</w:t>
      </w:r>
      <w:r>
        <w:t xml:space="preserve"> </w:t>
      </w:r>
      <w:r>
        <w:rPr>
          <w:rStyle w:val="VerbatimChar"/>
        </w:rPr>
        <w:t xml:space="preserve">t.test</w:t>
      </w:r>
      <w:r>
        <w:t xml:space="preserve"> </w:t>
      </w:r>
      <w:r>
        <w:t xml:space="preserve">function in R</w:t>
      </w:r>
      <w:r>
        <w:t xml:space="preserve"> </w:t>
      </w:r>
      <w:r>
        <w:t xml:space="preserve">(</w:t>
      </w:r>
      <w:hyperlink w:anchor="ref-R2018">
        <w:r>
          <w:rPr>
            <w:rStyle w:val="Hyperlink"/>
          </w:rPr>
          <w:t xml:space="preserve">R Core Team 2018</w:t>
        </w:r>
      </w:hyperlink>
      <w:r>
        <w:t xml:space="preserve">)</w:t>
      </w:r>
      <w:r>
        <w:t xml:space="preserve">.</w:t>
      </w:r>
    </w:p>
    <w:bookmarkEnd w:id="26"/>
    <w:bookmarkStart w:id="30" w:name="results"/>
    <w:p>
      <w:pPr>
        <w:pStyle w:val="Heading1"/>
      </w:pPr>
      <w:r>
        <w:t xml:space="preserve">Results</w:t>
      </w:r>
    </w:p>
    <w:p>
      <w:pPr>
        <w:pStyle w:val="FirstParagraph"/>
      </w:pPr>
      <w:r>
        <w:t xml:space="preserve">Bumpus’ data included 72 sparrows that lived and 64 sparrows that died. The mean total length of living sparrows was 158.71 mm, and the mean total length of dead sparrows was 160.48 mm. The two sample t-test revealed a t-statistic of -2.99, which corresponds to a p-value of</w:t>
      </w:r>
      <w:r>
        <w:t xml:space="preserve"> </w:t>
      </w:r>
      <m:oMath>
        <m:r>
          <m:t>P</m:t>
        </m:r>
        <m:r>
          <m:rPr>
            <m:sty m:val="p"/>
          </m:rPr>
          <m:t>=</m:t>
        </m:r>
      </m:oMath>
      <w:r>
        <w:t xml:space="preserve"> </w:t>
      </w:r>
      <w:r>
        <w:t xml:space="preserve">0.00167.</w:t>
      </w:r>
    </w:p>
    <w:p>
      <w:pPr>
        <w:pStyle w:val="TextBody"/>
      </w:pPr>
      <w:r>
        <w:t xml:space="preserve">Figure 2 shows the difference between total length in sparrows that survived versus sparrows that died. Overall, dead sparrows were 1.78 mm longer than living sparrows, and ranged between 152 and 163 mm. Living sparrows ranged between 153 and 160.25 mm (Figure 2).</w:t>
      </w:r>
    </w:p>
    <w:p>
      <w:pPr>
        <w:pStyle w:val="CaptionedFigure"/>
      </w:pPr>
      <w:r>
        <w:drawing>
          <wp:inline>
            <wp:extent cx="4620126" cy="4620126"/>
            <wp:effectExtent b="0" l="0" r="0" t="0"/>
            <wp:docPr descr="Box plot of the total lengths of live and dead sparrows following a snowstorm in Providence, RI, as originally collected by Hermon Bumpus. The central horizontal line shows median values. Boxes and whiskers show inter-quartile ranges and extreme values, respectively." title="" id="28" name="Picture"/>
            <a:graphic>
              <a:graphicData uri="http://schemas.openxmlformats.org/drawingml/2006/picture">
                <pic:pic>
                  <pic:nvPicPr>
                    <pic:cNvPr descr="ms_files/figure-docx/unnamed-chunk-3-1.png" id="29"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Box plot of the total lengths of live and dead sparrows following a snowstorm in Providence, RI, as originally collected by Hermon Bumpus. The central horizontal line shows median values. Boxes and whiskers show inter-quartile ranges and extreme values, respectively.</w:t>
      </w:r>
    </w:p>
    <w:bookmarkEnd w:id="30"/>
    <w:bookmarkStart w:id="33" w:name="discussion"/>
    <w:p>
      <w:pPr>
        <w:pStyle w:val="Heading1"/>
      </w:pPr>
      <w:r>
        <w:t xml:space="preserve">Discussion</w:t>
      </w:r>
    </w:p>
    <w:p>
      <w:pPr>
        <w:pStyle w:val="FirstParagraph"/>
      </w:pPr>
      <w:r>
        <w:t xml:space="preserve">I have analysed data collected by Herman Bumpus</w:t>
      </w:r>
      <w:r>
        <w:t xml:space="preserve"> </w:t>
      </w:r>
      <w:r>
        <w:t xml:space="preserve">(</w:t>
      </w:r>
      <w:hyperlink w:anchor="ref-Bumpus1898">
        <w:r>
          <w:rPr>
            <w:rStyle w:val="Hyperlink"/>
          </w:rPr>
          <w:t xml:space="preserve">Bumpus 1898</w:t>
        </w:r>
      </w:hyperlink>
      <w:r>
        <w:t xml:space="preserve">)</w:t>
      </w:r>
      <w:r>
        <w:t xml:space="preserve"> </w:t>
      </w:r>
      <w:r>
        <w:t xml:space="preserve">on the relationship between sparrow (</w:t>
      </w:r>
      <w:r>
        <w:rPr>
          <w:iCs/>
          <w:i/>
        </w:rPr>
        <w:t xml:space="preserve">Passer domesticus</w:t>
      </w:r>
      <w:r>
        <w:t xml:space="preserve">) total length and surival following an unusually severe storm. I found that sparrows that died in the storm were longer than sparrows that survived, which suggests that higher sparrow body length decreased survival. Of course, it is not possible to definitively conclude a causal relationship between any aspect of body size and sparrow survival</w:t>
      </w:r>
      <w:r>
        <w:t xml:space="preserve">, and even the available data collected by Bumpus would permit a more thoughtful analysis than that conducted in this study (see</w:t>
      </w:r>
      <w:r>
        <w:t xml:space="preserve"> </w:t>
      </w:r>
      <w:hyperlink w:anchor="appendix">
        <w:r>
          <w:rPr>
            <w:rStyle w:val="Hyperlink"/>
          </w:rPr>
          <w:t xml:space="preserve">Appendix Table 1</w:t>
        </w:r>
      </w:hyperlink>
      <w:r>
        <w:t xml:space="preserve">).</w:t>
      </w:r>
    </w:p>
    <w:p>
      <w:pPr>
        <w:pStyle w:val="TextBody"/>
      </w:pPr>
      <w:r>
        <w:t xml:space="preserve">Overall, this document demonstrates how high quality, professional looking documents can be written using Rmarkdown. The</w:t>
      </w:r>
      <w:r>
        <w:t xml:space="preserve"> </w:t>
      </w:r>
      <w:hyperlink r:id="rId31">
        <w:r>
          <w:rPr>
            <w:rStyle w:val="Hyperlink"/>
          </w:rPr>
          <w:t xml:space="preserve">underlying code</w:t>
        </w:r>
      </w:hyperlink>
      <w:r>
        <w:t xml:space="preserve"> </w:t>
      </w:r>
      <w:r>
        <w:t xml:space="preserve">for this manuscript is publicly available, along with</w:t>
      </w:r>
      <w:r>
        <w:t xml:space="preserve"> </w:t>
      </w:r>
      <w:hyperlink r:id="rId32">
        <w:r>
          <w:rPr>
            <w:rStyle w:val="Hyperlink"/>
          </w:rPr>
          <w:t xml:space="preserve">accompanying notes</w:t>
        </w:r>
      </w:hyperlink>
      <w:r>
        <w:t xml:space="preserve"> </w:t>
      </w:r>
      <w:r>
        <w:t xml:space="preserve">to understand how it was written. By using Rmarkdown to write manuscripts, authors can more easily use version control (e.g., git) throughout the writing process. The ability to easily integrate citations though BibTeX, LaTeX tools, and dynamic R code can also make writing much more efficient and more enjoyable. Further, obtaining the benefits of using Rmarkdown does not need to come with the cost of isolating colleagues who prefer to work with Word or LaTeX because Rmarkdown can easily be converted to these formats (in the case of Word, with the push of a button). By learning all of the tools used in this manuscript, readers should have all of the necessary knowledge to get started writing and collaborating in Rmarkdown.</w:t>
      </w:r>
    </w:p>
    <w:bookmarkEnd w:id="33"/>
    <w:bookmarkStart w:id="40" w:name="references"/>
    <w:p>
      <w:pPr>
        <w:pStyle w:val="Heading1"/>
      </w:pPr>
      <w:r>
        <w:t xml:space="preserve">References</w:t>
      </w:r>
    </w:p>
    <w:bookmarkStart w:id="39" w:name="refs"/>
    <w:bookmarkStart w:id="34" w:name="ref-Bumpus1898"/>
    <w:p>
      <w:pPr>
        <w:pStyle w:val="Bibliography"/>
      </w:pPr>
      <w:r>
        <w:t xml:space="preserve">Bumpus, H. C. 1898.</w:t>
      </w:r>
      <w:r>
        <w:t xml:space="preserve"> </w:t>
      </w:r>
      <w:r>
        <w:t xml:space="preserve">Eleventh lecture. The elimination of the unfit as illustrated by the introduced sparrow,</w:t>
      </w:r>
      <w:r>
        <w:t xml:space="preserve"> </w:t>
      </w:r>
      <w:r>
        <w:rPr>
          <w:iCs/>
          <w:i/>
        </w:rPr>
        <w:t xml:space="preserve">Passer domesticus</w:t>
      </w:r>
      <w:r>
        <w:t xml:space="preserve">. (A fourth contribution to the study of variation.)</w:t>
      </w:r>
      <w:r>
        <w:t xml:space="preserve">. Biological Lectures: Woods Hole Marine Biological Laboratory 209–225.</w:t>
      </w:r>
    </w:p>
    <w:bookmarkEnd w:id="34"/>
    <w:bookmarkStart w:id="35" w:name="ref-Darwin1859"/>
    <w:p>
      <w:pPr>
        <w:pStyle w:val="Bibliography"/>
      </w:pPr>
      <w:r>
        <w:t xml:space="preserve">Darwin, C. 1859.</w:t>
      </w:r>
      <w:r>
        <w:t xml:space="preserve"> </w:t>
      </w:r>
      <w:r>
        <w:t xml:space="preserve">The Origin of Species</w:t>
      </w:r>
      <w:r>
        <w:t xml:space="preserve">. Penguin, New York.</w:t>
      </w:r>
    </w:p>
    <w:bookmarkEnd w:id="35"/>
    <w:bookmarkStart w:id="36" w:name="ref-Johnston1972"/>
    <w:p>
      <w:pPr>
        <w:pStyle w:val="Bibliography"/>
      </w:pPr>
      <w:r>
        <w:t xml:space="preserve">Johnston, R. F., D. M. Niles, and S. A. Rohwer. 1972.</w:t>
      </w:r>
      <w:r>
        <w:t xml:space="preserve"> </w:t>
      </w:r>
      <w:r>
        <w:t xml:space="preserve">Hermon Bumpus and natural selection in the House Sparrow</w:t>
      </w:r>
      <w:r>
        <w:t xml:space="preserve"> </w:t>
      </w:r>
      <w:r>
        <w:rPr>
          <w:iCs/>
          <w:i/>
        </w:rPr>
        <w:t xml:space="preserve">Passer domesticus</w:t>
      </w:r>
      <w:r>
        <w:t xml:space="preserve"> </w:t>
      </w:r>
      <w:r>
        <w:t xml:space="preserve">. Evolution 26:20–31.</w:t>
      </w:r>
    </w:p>
    <w:bookmarkEnd w:id="36"/>
    <w:bookmarkStart w:id="38" w:name="ref-R2018"/>
    <w:p>
      <w:pPr>
        <w:pStyle w:val="Bibliography"/>
      </w:pPr>
      <w:r>
        <w:t xml:space="preserve">R Core Team. 2018.</w:t>
      </w:r>
      <w:r>
        <w:t xml:space="preserve"> </w:t>
      </w:r>
      <w:hyperlink r:id="rId37">
        <w:r>
          <w:rPr>
            <w:rStyle w:val="Hyperlink"/>
          </w:rPr>
          <w:t xml:space="preserve">R: A language and environment for statistical computing</w:t>
        </w:r>
      </w:hyperlink>
      <w:r>
        <w:t xml:space="preserve">. R Foundation for Statistical Computing, Vienna, Austria.</w:t>
      </w:r>
    </w:p>
    <w:bookmarkEnd w:id="38"/>
    <w:bookmarkEnd w:id="39"/>
    <w:bookmarkEnd w:id="40"/>
    <w:bookmarkStart w:id="42" w:name="appendix-table-1"/>
    <w:p>
      <w:pPr>
        <w:pStyle w:val="Heading1"/>
      </w:pPr>
      <w:r>
        <w:t xml:space="preserve">Appendix Table 1</w:t>
      </w:r>
    </w:p>
    <w:p>
      <w:pPr>
        <w:pStyle w:val="FirstParagraph"/>
      </w:pPr>
      <w:r>
        <w:t xml:space="preserve">An example table is shown below, which includes all of the variables collected by</w:t>
      </w:r>
      <w:r>
        <w:t xml:space="preserve"> </w:t>
      </w:r>
      <w:r>
        <w:t xml:space="preserve">Bumpus (</w:t>
      </w:r>
      <w:hyperlink w:anchor="ref-Bumpus1898">
        <w:r>
          <w:rPr>
            <w:rStyle w:val="Hyperlink"/>
          </w:rPr>
          <w:t xml:space="preserve">1898</w:t>
        </w:r>
      </w:hyperlink>
      <w:r>
        <w:t xml:space="preserve">)</w:t>
      </w:r>
      <w:r>
        <w:t xml:space="preserve"> </w:t>
      </w:r>
      <w:r>
        <w:t xml:space="preserve">for the first 10 measured sparrows. The full data set can be found online in</w:t>
      </w:r>
      <w:r>
        <w:t xml:space="preserve"> </w:t>
      </w:r>
      <w:hyperlink r:id="rId41">
        <w:r>
          <w:rPr>
            <w:rStyle w:val="Hyperlink"/>
          </w:rPr>
          <w:t xml:space="preserve">GitHub</w:t>
        </w:r>
      </w:hyperlink>
      <w:r>
        <w:t xml:space="preserve">.</w:t>
      </w:r>
    </w:p>
    <w:p>
      <w:pPr>
        <w:pStyle w:val="TableCaption"/>
      </w:pPr>
      <w:r>
        <w:t xml:space="preserve">First ten rows of the original data set collected by Hermon Bumpus</w:t>
      </w:r>
    </w:p>
    <w:tbl>
      <w:tblPr>
        <w:tblStyle w:val="Table"/>
        <w:tblW w:type="pct" w:w="5000"/>
        <w:tblLook w:firstRow="1" w:lastRow="0" w:firstColumn="0" w:lastColumn="0" w:noHBand="0" w:noVBand="0" w:val="0020"/>
        <w:tblCaption w:val="First ten rows of the original data set collected by Hermon Bumpus"/>
      </w:tblPr>
      <w:tblGrid>
        <w:gridCol w:w="599"/>
        <w:gridCol w:w="719"/>
        <w:gridCol w:w="839"/>
        <w:gridCol w:w="959"/>
        <w:gridCol w:w="599"/>
        <w:gridCol w:w="599"/>
        <w:gridCol w:w="719"/>
        <w:gridCol w:w="719"/>
        <w:gridCol w:w="719"/>
        <w:gridCol w:w="719"/>
        <w:gridCol w:w="719"/>
      </w:tblGrid>
      <w:tr>
        <w:trPr>
          <w:tblHeader w:val="true"/>
        </w:trPr>
        <w:tc>
          <w:tcPr/>
          <w:p>
            <w:pPr>
              <w:pStyle w:val="Compact"/>
              <w:jc w:val="left"/>
            </w:pPr>
            <w:r>
              <w:t xml:space="preserve">sex</w:t>
            </w:r>
          </w:p>
        </w:tc>
        <w:tc>
          <w:tcPr/>
          <w:p>
            <w:pPr>
              <w:pStyle w:val="Compact"/>
              <w:jc w:val="left"/>
            </w:pPr>
            <w:r>
              <w:t xml:space="preserve">surv</w:t>
            </w:r>
          </w:p>
        </w:tc>
        <w:tc>
          <w:tcPr/>
          <w:p>
            <w:pPr>
              <w:pStyle w:val="Compact"/>
              <w:jc w:val="right"/>
            </w:pPr>
            <w:r>
              <w:t xml:space="preserve">totlen</w:t>
            </w:r>
          </w:p>
        </w:tc>
        <w:tc>
          <w:tcPr/>
          <w:p>
            <w:pPr>
              <w:pStyle w:val="Compact"/>
              <w:jc w:val="right"/>
            </w:pPr>
            <w:r>
              <w:t xml:space="preserve">wingext</w:t>
            </w:r>
          </w:p>
        </w:tc>
        <w:tc>
          <w:tcPr/>
          <w:p>
            <w:pPr>
              <w:pStyle w:val="Compact"/>
              <w:jc w:val="right"/>
            </w:pPr>
            <w:r>
              <w:t xml:space="preserve">wgt</w:t>
            </w:r>
          </w:p>
        </w:tc>
        <w:tc>
          <w:tcPr/>
          <w:p>
            <w:pPr>
              <w:pStyle w:val="Compact"/>
              <w:jc w:val="right"/>
            </w:pPr>
            <w:r>
              <w:t xml:space="preserve">head</w:t>
            </w:r>
          </w:p>
        </w:tc>
        <w:tc>
          <w:tcPr/>
          <w:p>
            <w:pPr>
              <w:pStyle w:val="Compact"/>
              <w:jc w:val="right"/>
            </w:pPr>
            <w:r>
              <w:t xml:space="preserve">humer</w:t>
            </w:r>
          </w:p>
        </w:tc>
        <w:tc>
          <w:tcPr/>
          <w:p>
            <w:pPr>
              <w:pStyle w:val="Compact"/>
              <w:jc w:val="right"/>
            </w:pPr>
            <w:r>
              <w:t xml:space="preserve">femur</w:t>
            </w:r>
          </w:p>
        </w:tc>
        <w:tc>
          <w:tcPr/>
          <w:p>
            <w:pPr>
              <w:pStyle w:val="Compact"/>
              <w:jc w:val="right"/>
            </w:pPr>
            <w:r>
              <w:t xml:space="preserve">tibio</w:t>
            </w:r>
          </w:p>
        </w:tc>
        <w:tc>
          <w:tcPr/>
          <w:p>
            <w:pPr>
              <w:pStyle w:val="Compact"/>
              <w:jc w:val="right"/>
            </w:pPr>
            <w:r>
              <w:t xml:space="preserve">skull</w:t>
            </w:r>
          </w:p>
        </w:tc>
        <w:tc>
          <w:tcPr/>
          <w:p>
            <w:pPr>
              <w:pStyle w:val="Compact"/>
              <w:jc w:val="right"/>
            </w:pPr>
            <w:r>
              <w:t xml:space="preserve">stern</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154</w:t>
            </w:r>
          </w:p>
        </w:tc>
        <w:tc>
          <w:tcPr/>
          <w:p>
            <w:pPr>
              <w:pStyle w:val="Compact"/>
              <w:jc w:val="right"/>
            </w:pPr>
            <w:r>
              <w:t xml:space="preserve">241</w:t>
            </w:r>
          </w:p>
        </w:tc>
        <w:tc>
          <w:tcPr/>
          <w:p>
            <w:pPr>
              <w:pStyle w:val="Compact"/>
              <w:jc w:val="right"/>
            </w:pPr>
            <w:r>
              <w:t xml:space="preserve">24.5</w:t>
            </w:r>
          </w:p>
        </w:tc>
        <w:tc>
          <w:tcPr/>
          <w:p>
            <w:pPr>
              <w:pStyle w:val="Compact"/>
              <w:jc w:val="right"/>
            </w:pPr>
            <w:r>
              <w:t xml:space="preserve">31.2</w:t>
            </w:r>
          </w:p>
        </w:tc>
        <w:tc>
          <w:tcPr/>
          <w:p>
            <w:pPr>
              <w:pStyle w:val="Compact"/>
              <w:jc w:val="right"/>
            </w:pPr>
            <w:r>
              <w:t xml:space="preserve">0.687</w:t>
            </w:r>
          </w:p>
        </w:tc>
        <w:tc>
          <w:tcPr/>
          <w:p>
            <w:pPr>
              <w:pStyle w:val="Compact"/>
              <w:jc w:val="right"/>
            </w:pPr>
            <w:r>
              <w:t xml:space="preserve">0.668</w:t>
            </w:r>
          </w:p>
        </w:tc>
        <w:tc>
          <w:tcPr/>
          <w:p>
            <w:pPr>
              <w:pStyle w:val="Compact"/>
              <w:jc w:val="right"/>
            </w:pPr>
            <w:r>
              <w:t xml:space="preserve">1.022</w:t>
            </w:r>
          </w:p>
        </w:tc>
        <w:tc>
          <w:tcPr/>
          <w:p>
            <w:pPr>
              <w:pStyle w:val="Compact"/>
              <w:jc w:val="right"/>
            </w:pPr>
            <w:r>
              <w:t xml:space="preserve">0.587</w:t>
            </w:r>
          </w:p>
        </w:tc>
        <w:tc>
          <w:tcPr/>
          <w:p>
            <w:pPr>
              <w:pStyle w:val="Compact"/>
              <w:jc w:val="right"/>
            </w:pPr>
            <w:r>
              <w:t xml:space="preserve">0.830</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160</w:t>
            </w:r>
          </w:p>
        </w:tc>
        <w:tc>
          <w:tcPr/>
          <w:p>
            <w:pPr>
              <w:pStyle w:val="Compact"/>
              <w:jc w:val="right"/>
            </w:pPr>
            <w:r>
              <w:t xml:space="preserve">252</w:t>
            </w:r>
          </w:p>
        </w:tc>
        <w:tc>
          <w:tcPr/>
          <w:p>
            <w:pPr>
              <w:pStyle w:val="Compact"/>
              <w:jc w:val="right"/>
            </w:pPr>
            <w:r>
              <w:t xml:space="preserve">26.9</w:t>
            </w:r>
          </w:p>
        </w:tc>
        <w:tc>
          <w:tcPr/>
          <w:p>
            <w:pPr>
              <w:pStyle w:val="Compact"/>
              <w:jc w:val="right"/>
            </w:pPr>
            <w:r>
              <w:t xml:space="preserve">30.8</w:t>
            </w:r>
          </w:p>
        </w:tc>
        <w:tc>
          <w:tcPr/>
          <w:p>
            <w:pPr>
              <w:pStyle w:val="Compact"/>
              <w:jc w:val="right"/>
            </w:pPr>
            <w:r>
              <w:t xml:space="preserve">0.736</w:t>
            </w:r>
          </w:p>
        </w:tc>
        <w:tc>
          <w:tcPr/>
          <w:p>
            <w:pPr>
              <w:pStyle w:val="Compact"/>
              <w:jc w:val="right"/>
            </w:pPr>
            <w:r>
              <w:t xml:space="preserve">0.709</w:t>
            </w:r>
          </w:p>
        </w:tc>
        <w:tc>
          <w:tcPr/>
          <w:p>
            <w:pPr>
              <w:pStyle w:val="Compact"/>
              <w:jc w:val="right"/>
            </w:pPr>
            <w:r>
              <w:t xml:space="preserve">1.180</w:t>
            </w:r>
          </w:p>
        </w:tc>
        <w:tc>
          <w:tcPr/>
          <w:p>
            <w:pPr>
              <w:pStyle w:val="Compact"/>
              <w:jc w:val="right"/>
            </w:pPr>
            <w:r>
              <w:t xml:space="preserve">0.602</w:t>
            </w:r>
          </w:p>
        </w:tc>
        <w:tc>
          <w:tcPr/>
          <w:p>
            <w:pPr>
              <w:pStyle w:val="Compact"/>
              <w:jc w:val="right"/>
            </w:pPr>
            <w:r>
              <w:t xml:space="preserve">0.841</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155</w:t>
            </w:r>
          </w:p>
        </w:tc>
        <w:tc>
          <w:tcPr/>
          <w:p>
            <w:pPr>
              <w:pStyle w:val="Compact"/>
              <w:jc w:val="right"/>
            </w:pPr>
            <w:r>
              <w:t xml:space="preserve">243</w:t>
            </w:r>
          </w:p>
        </w:tc>
        <w:tc>
          <w:tcPr/>
          <w:p>
            <w:pPr>
              <w:pStyle w:val="Compact"/>
              <w:jc w:val="right"/>
            </w:pPr>
            <w:r>
              <w:t xml:space="preserve">26.9</w:t>
            </w:r>
          </w:p>
        </w:tc>
        <w:tc>
          <w:tcPr/>
          <w:p>
            <w:pPr>
              <w:pStyle w:val="Compact"/>
              <w:jc w:val="right"/>
            </w:pPr>
            <w:r>
              <w:t xml:space="preserve">30.6</w:t>
            </w:r>
          </w:p>
        </w:tc>
        <w:tc>
          <w:tcPr/>
          <w:p>
            <w:pPr>
              <w:pStyle w:val="Compact"/>
              <w:jc w:val="right"/>
            </w:pPr>
            <w:r>
              <w:t xml:space="preserve">0.733</w:t>
            </w:r>
          </w:p>
        </w:tc>
        <w:tc>
          <w:tcPr/>
          <w:p>
            <w:pPr>
              <w:pStyle w:val="Compact"/>
              <w:jc w:val="right"/>
            </w:pPr>
            <w:r>
              <w:t xml:space="preserve">0.704</w:t>
            </w:r>
          </w:p>
        </w:tc>
        <w:tc>
          <w:tcPr/>
          <w:p>
            <w:pPr>
              <w:pStyle w:val="Compact"/>
              <w:jc w:val="right"/>
            </w:pPr>
            <w:r>
              <w:t xml:space="preserve">1.151</w:t>
            </w:r>
          </w:p>
        </w:tc>
        <w:tc>
          <w:tcPr/>
          <w:p>
            <w:pPr>
              <w:pStyle w:val="Compact"/>
              <w:jc w:val="right"/>
            </w:pPr>
            <w:r>
              <w:t xml:space="preserve">0.602</w:t>
            </w:r>
          </w:p>
        </w:tc>
        <w:tc>
          <w:tcPr/>
          <w:p>
            <w:pPr>
              <w:pStyle w:val="Compact"/>
              <w:jc w:val="right"/>
            </w:pPr>
            <w:r>
              <w:t xml:space="preserve">0.846</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154</w:t>
            </w:r>
          </w:p>
        </w:tc>
        <w:tc>
          <w:tcPr/>
          <w:p>
            <w:pPr>
              <w:pStyle w:val="Compact"/>
              <w:jc w:val="right"/>
            </w:pPr>
            <w:r>
              <w:t xml:space="preserve">245</w:t>
            </w:r>
          </w:p>
        </w:tc>
        <w:tc>
          <w:tcPr/>
          <w:p>
            <w:pPr>
              <w:pStyle w:val="Compact"/>
              <w:jc w:val="right"/>
            </w:pPr>
            <w:r>
              <w:t xml:space="preserve">24.3</w:t>
            </w:r>
          </w:p>
        </w:tc>
        <w:tc>
          <w:tcPr/>
          <w:p>
            <w:pPr>
              <w:pStyle w:val="Compact"/>
              <w:jc w:val="right"/>
            </w:pPr>
            <w:r>
              <w:t xml:space="preserve">31.7</w:t>
            </w:r>
          </w:p>
        </w:tc>
        <w:tc>
          <w:tcPr/>
          <w:p>
            <w:pPr>
              <w:pStyle w:val="Compact"/>
              <w:jc w:val="right"/>
            </w:pPr>
            <w:r>
              <w:t xml:space="preserve">0.741</w:t>
            </w:r>
          </w:p>
        </w:tc>
        <w:tc>
          <w:tcPr/>
          <w:p>
            <w:pPr>
              <w:pStyle w:val="Compact"/>
              <w:jc w:val="right"/>
            </w:pPr>
            <w:r>
              <w:t xml:space="preserve">0.688</w:t>
            </w:r>
          </w:p>
        </w:tc>
        <w:tc>
          <w:tcPr/>
          <w:p>
            <w:pPr>
              <w:pStyle w:val="Compact"/>
              <w:jc w:val="right"/>
            </w:pPr>
            <w:r>
              <w:t xml:space="preserve">1.146</w:t>
            </w:r>
          </w:p>
        </w:tc>
        <w:tc>
          <w:tcPr/>
          <w:p>
            <w:pPr>
              <w:pStyle w:val="Compact"/>
              <w:jc w:val="right"/>
            </w:pPr>
            <w:r>
              <w:t xml:space="preserve">0.584</w:t>
            </w:r>
          </w:p>
        </w:tc>
        <w:tc>
          <w:tcPr/>
          <w:p>
            <w:pPr>
              <w:pStyle w:val="Compact"/>
              <w:jc w:val="right"/>
            </w:pPr>
            <w:r>
              <w:t xml:space="preserve">0.839</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156</w:t>
            </w:r>
          </w:p>
        </w:tc>
        <w:tc>
          <w:tcPr/>
          <w:p>
            <w:pPr>
              <w:pStyle w:val="Compact"/>
              <w:jc w:val="right"/>
            </w:pPr>
            <w:r>
              <w:t xml:space="preserve">247</w:t>
            </w:r>
          </w:p>
        </w:tc>
        <w:tc>
          <w:tcPr/>
          <w:p>
            <w:pPr>
              <w:pStyle w:val="Compact"/>
              <w:jc w:val="right"/>
            </w:pPr>
            <w:r>
              <w:t xml:space="preserve">24.1</w:t>
            </w:r>
          </w:p>
        </w:tc>
        <w:tc>
          <w:tcPr/>
          <w:p>
            <w:pPr>
              <w:pStyle w:val="Compact"/>
              <w:jc w:val="right"/>
            </w:pPr>
            <w:r>
              <w:t xml:space="preserve">31.5</w:t>
            </w:r>
          </w:p>
        </w:tc>
        <w:tc>
          <w:tcPr/>
          <w:p>
            <w:pPr>
              <w:pStyle w:val="Compact"/>
              <w:jc w:val="right"/>
            </w:pPr>
            <w:r>
              <w:t xml:space="preserve">0.715</w:t>
            </w:r>
          </w:p>
        </w:tc>
        <w:tc>
          <w:tcPr/>
          <w:p>
            <w:pPr>
              <w:pStyle w:val="Compact"/>
              <w:jc w:val="right"/>
            </w:pPr>
            <w:r>
              <w:t xml:space="preserve">0.706</w:t>
            </w:r>
          </w:p>
        </w:tc>
        <w:tc>
          <w:tcPr/>
          <w:p>
            <w:pPr>
              <w:pStyle w:val="Compact"/>
              <w:jc w:val="right"/>
            </w:pPr>
            <w:r>
              <w:t xml:space="preserve">1.129</w:t>
            </w:r>
          </w:p>
        </w:tc>
        <w:tc>
          <w:tcPr/>
          <w:p>
            <w:pPr>
              <w:pStyle w:val="Compact"/>
              <w:jc w:val="right"/>
            </w:pPr>
            <w:r>
              <w:t xml:space="preserve">0.575</w:t>
            </w:r>
          </w:p>
        </w:tc>
        <w:tc>
          <w:tcPr/>
          <w:p>
            <w:pPr>
              <w:pStyle w:val="Compact"/>
              <w:jc w:val="right"/>
            </w:pPr>
            <w:r>
              <w:t xml:space="preserve">0.821</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161</w:t>
            </w:r>
          </w:p>
        </w:tc>
        <w:tc>
          <w:tcPr/>
          <w:p>
            <w:pPr>
              <w:pStyle w:val="Compact"/>
              <w:jc w:val="right"/>
            </w:pPr>
            <w:r>
              <w:t xml:space="preserve">253</w:t>
            </w:r>
          </w:p>
        </w:tc>
        <w:tc>
          <w:tcPr/>
          <w:p>
            <w:pPr>
              <w:pStyle w:val="Compact"/>
              <w:jc w:val="right"/>
            </w:pPr>
            <w:r>
              <w:t xml:space="preserve">26.5</w:t>
            </w:r>
          </w:p>
        </w:tc>
        <w:tc>
          <w:tcPr/>
          <w:p>
            <w:pPr>
              <w:pStyle w:val="Compact"/>
              <w:jc w:val="right"/>
            </w:pPr>
            <w:r>
              <w:t xml:space="preserve">31.8</w:t>
            </w:r>
          </w:p>
        </w:tc>
        <w:tc>
          <w:tcPr/>
          <w:p>
            <w:pPr>
              <w:pStyle w:val="Compact"/>
              <w:jc w:val="right"/>
            </w:pPr>
            <w:r>
              <w:t xml:space="preserve">0.780</w:t>
            </w:r>
          </w:p>
        </w:tc>
        <w:tc>
          <w:tcPr/>
          <w:p>
            <w:pPr>
              <w:pStyle w:val="Compact"/>
              <w:jc w:val="right"/>
            </w:pPr>
            <w:r>
              <w:t xml:space="preserve">0.743</w:t>
            </w:r>
          </w:p>
        </w:tc>
        <w:tc>
          <w:tcPr/>
          <w:p>
            <w:pPr>
              <w:pStyle w:val="Compact"/>
              <w:jc w:val="right"/>
            </w:pPr>
            <w:r>
              <w:t xml:space="preserve">1.144</w:t>
            </w:r>
          </w:p>
        </w:tc>
        <w:tc>
          <w:tcPr/>
          <w:p>
            <w:pPr>
              <w:pStyle w:val="Compact"/>
              <w:jc w:val="right"/>
            </w:pPr>
            <w:r>
              <w:t xml:space="preserve">0.607</w:t>
            </w:r>
          </w:p>
        </w:tc>
        <w:tc>
          <w:tcPr/>
          <w:p>
            <w:pPr>
              <w:pStyle w:val="Compact"/>
              <w:jc w:val="right"/>
            </w:pPr>
            <w:r>
              <w:t xml:space="preserve">0.893</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157</w:t>
            </w:r>
          </w:p>
        </w:tc>
        <w:tc>
          <w:tcPr/>
          <w:p>
            <w:pPr>
              <w:pStyle w:val="Compact"/>
              <w:jc w:val="right"/>
            </w:pPr>
            <w:r>
              <w:t xml:space="preserve">251</w:t>
            </w:r>
          </w:p>
        </w:tc>
        <w:tc>
          <w:tcPr/>
          <w:p>
            <w:pPr>
              <w:pStyle w:val="Compact"/>
              <w:jc w:val="right"/>
            </w:pPr>
            <w:r>
              <w:t xml:space="preserve">24.6</w:t>
            </w:r>
          </w:p>
        </w:tc>
        <w:tc>
          <w:tcPr/>
          <w:p>
            <w:pPr>
              <w:pStyle w:val="Compact"/>
              <w:jc w:val="right"/>
            </w:pPr>
            <w:r>
              <w:t xml:space="preserve">31.1</w:t>
            </w:r>
          </w:p>
        </w:tc>
        <w:tc>
          <w:tcPr/>
          <w:p>
            <w:pPr>
              <w:pStyle w:val="Compact"/>
              <w:jc w:val="right"/>
            </w:pPr>
            <w:r>
              <w:t xml:space="preserve">0.741</w:t>
            </w:r>
          </w:p>
        </w:tc>
        <w:tc>
          <w:tcPr/>
          <w:p>
            <w:pPr>
              <w:pStyle w:val="Compact"/>
              <w:jc w:val="right"/>
            </w:pPr>
            <w:r>
              <w:t xml:space="preserve">0.736</w:t>
            </w:r>
          </w:p>
        </w:tc>
        <w:tc>
          <w:tcPr/>
          <w:p>
            <w:pPr>
              <w:pStyle w:val="Compact"/>
              <w:jc w:val="right"/>
            </w:pPr>
            <w:r>
              <w:t xml:space="preserve">1.153</w:t>
            </w:r>
          </w:p>
        </w:tc>
        <w:tc>
          <w:tcPr/>
          <w:p>
            <w:pPr>
              <w:pStyle w:val="Compact"/>
              <w:jc w:val="right"/>
            </w:pPr>
            <w:r>
              <w:t xml:space="preserve">0.610</w:t>
            </w:r>
          </w:p>
        </w:tc>
        <w:tc>
          <w:tcPr/>
          <w:p>
            <w:pPr>
              <w:pStyle w:val="Compact"/>
              <w:jc w:val="right"/>
            </w:pPr>
            <w:r>
              <w:t xml:space="preserve">0.862</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159</w:t>
            </w:r>
          </w:p>
        </w:tc>
        <w:tc>
          <w:tcPr/>
          <w:p>
            <w:pPr>
              <w:pStyle w:val="Compact"/>
              <w:jc w:val="right"/>
            </w:pPr>
            <w:r>
              <w:t xml:space="preserve">247</w:t>
            </w:r>
          </w:p>
        </w:tc>
        <w:tc>
          <w:tcPr/>
          <w:p>
            <w:pPr>
              <w:pStyle w:val="Compact"/>
              <w:jc w:val="right"/>
            </w:pPr>
            <w:r>
              <w:t xml:space="preserve">24.2</w:t>
            </w:r>
          </w:p>
        </w:tc>
        <w:tc>
          <w:tcPr/>
          <w:p>
            <w:pPr>
              <w:pStyle w:val="Compact"/>
              <w:jc w:val="right"/>
            </w:pPr>
            <w:r>
              <w:t xml:space="preserve">31.4</w:t>
            </w:r>
          </w:p>
        </w:tc>
        <w:tc>
          <w:tcPr/>
          <w:p>
            <w:pPr>
              <w:pStyle w:val="Compact"/>
              <w:jc w:val="right"/>
            </w:pPr>
            <w:r>
              <w:t xml:space="preserve">0.728</w:t>
            </w:r>
          </w:p>
        </w:tc>
        <w:tc>
          <w:tcPr/>
          <w:p>
            <w:pPr>
              <w:pStyle w:val="Compact"/>
              <w:jc w:val="right"/>
            </w:pPr>
            <w:r>
              <w:t xml:space="preserve">0.718</w:t>
            </w:r>
          </w:p>
        </w:tc>
        <w:tc>
          <w:tcPr/>
          <w:p>
            <w:pPr>
              <w:pStyle w:val="Compact"/>
              <w:jc w:val="right"/>
            </w:pPr>
            <w:r>
              <w:t xml:space="preserve">1.126</w:t>
            </w:r>
          </w:p>
        </w:tc>
        <w:tc>
          <w:tcPr/>
          <w:p>
            <w:pPr>
              <w:pStyle w:val="Compact"/>
              <w:jc w:val="right"/>
            </w:pPr>
            <w:r>
              <w:t xml:space="preserve">0.609</w:t>
            </w:r>
          </w:p>
        </w:tc>
        <w:tc>
          <w:tcPr/>
          <w:p>
            <w:pPr>
              <w:pStyle w:val="Compact"/>
              <w:jc w:val="right"/>
            </w:pPr>
            <w:r>
              <w:t xml:space="preserve">0.793</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158</w:t>
            </w:r>
          </w:p>
        </w:tc>
        <w:tc>
          <w:tcPr/>
          <w:p>
            <w:pPr>
              <w:pStyle w:val="Compact"/>
              <w:jc w:val="right"/>
            </w:pPr>
            <w:r>
              <w:t xml:space="preserve">247</w:t>
            </w:r>
          </w:p>
        </w:tc>
        <w:tc>
          <w:tcPr/>
          <w:p>
            <w:pPr>
              <w:pStyle w:val="Compact"/>
              <w:jc w:val="right"/>
            </w:pPr>
            <w:r>
              <w:t xml:space="preserve">23.6</w:t>
            </w:r>
          </w:p>
        </w:tc>
        <w:tc>
          <w:tcPr/>
          <w:p>
            <w:pPr>
              <w:pStyle w:val="Compact"/>
              <w:jc w:val="right"/>
            </w:pPr>
            <w:r>
              <w:t xml:space="preserve">29.8</w:t>
            </w:r>
          </w:p>
        </w:tc>
        <w:tc>
          <w:tcPr/>
          <w:p>
            <w:pPr>
              <w:pStyle w:val="Compact"/>
              <w:jc w:val="right"/>
            </w:pPr>
            <w:r>
              <w:t xml:space="preserve">0.703</w:t>
            </w:r>
          </w:p>
        </w:tc>
        <w:tc>
          <w:tcPr/>
          <w:p>
            <w:pPr>
              <w:pStyle w:val="Compact"/>
              <w:jc w:val="right"/>
            </w:pPr>
            <w:r>
              <w:t xml:space="preserve">0.673</w:t>
            </w:r>
          </w:p>
        </w:tc>
        <w:tc>
          <w:tcPr/>
          <w:p>
            <w:pPr>
              <w:pStyle w:val="Compact"/>
              <w:jc w:val="right"/>
            </w:pPr>
            <w:r>
              <w:t xml:space="preserve">1.079</w:t>
            </w:r>
          </w:p>
        </w:tc>
        <w:tc>
          <w:tcPr/>
          <w:p>
            <w:pPr>
              <w:pStyle w:val="Compact"/>
              <w:jc w:val="right"/>
            </w:pPr>
            <w:r>
              <w:t xml:space="preserve">0.602</w:t>
            </w:r>
          </w:p>
        </w:tc>
        <w:tc>
          <w:tcPr/>
          <w:p>
            <w:pPr>
              <w:pStyle w:val="Compact"/>
              <w:jc w:val="right"/>
            </w:pPr>
            <w:r>
              <w:t xml:space="preserve">0.820</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158</w:t>
            </w:r>
          </w:p>
        </w:tc>
        <w:tc>
          <w:tcPr/>
          <w:p>
            <w:pPr>
              <w:pStyle w:val="Compact"/>
              <w:jc w:val="right"/>
            </w:pPr>
            <w:r>
              <w:t xml:space="preserve">252</w:t>
            </w:r>
          </w:p>
        </w:tc>
        <w:tc>
          <w:tcPr/>
          <w:p>
            <w:pPr>
              <w:pStyle w:val="Compact"/>
              <w:jc w:val="right"/>
            </w:pPr>
            <w:r>
              <w:t xml:space="preserve">26.2</w:t>
            </w:r>
          </w:p>
        </w:tc>
        <w:tc>
          <w:tcPr/>
          <w:p>
            <w:pPr>
              <w:pStyle w:val="Compact"/>
              <w:jc w:val="right"/>
            </w:pPr>
            <w:r>
              <w:t xml:space="preserve">32.0</w:t>
            </w:r>
          </w:p>
        </w:tc>
        <w:tc>
          <w:tcPr/>
          <w:p>
            <w:pPr>
              <w:pStyle w:val="Compact"/>
              <w:jc w:val="right"/>
            </w:pPr>
            <w:r>
              <w:t xml:space="preserve">0.749</w:t>
            </w:r>
          </w:p>
        </w:tc>
        <w:tc>
          <w:tcPr/>
          <w:p>
            <w:pPr>
              <w:pStyle w:val="Compact"/>
              <w:jc w:val="right"/>
            </w:pPr>
            <w:r>
              <w:t xml:space="preserve">0.739</w:t>
            </w:r>
          </w:p>
        </w:tc>
        <w:tc>
          <w:tcPr/>
          <w:p>
            <w:pPr>
              <w:pStyle w:val="Compact"/>
              <w:jc w:val="right"/>
            </w:pPr>
            <w:r>
              <w:t xml:space="preserve">1.153</w:t>
            </w:r>
          </w:p>
        </w:tc>
        <w:tc>
          <w:tcPr/>
          <w:p>
            <w:pPr>
              <w:pStyle w:val="Compact"/>
              <w:jc w:val="right"/>
            </w:pPr>
            <w:r>
              <w:t xml:space="preserve">0.614</w:t>
            </w:r>
          </w:p>
        </w:tc>
        <w:tc>
          <w:tcPr/>
          <w:p>
            <w:pPr>
              <w:pStyle w:val="Compact"/>
              <w:jc w:val="right"/>
            </w:pPr>
            <w:r>
              <w:t xml:space="preserve">0.857</w:t>
            </w:r>
          </w:p>
        </w:tc>
      </w:tr>
    </w:tbl>
    <w:bookmarkEnd w:id="42"/>
    <w:sectPr>
      <w:headerReference r:id="rId9" w:type="default"/>
      <w:footerReference r:id="rId10" w:type="default"/>
      <w:type w:val="nextPage"/>
      <w:pgSz w:h="16838" w:w="11906"/>
      <w:pgMar w:bottom="1134" w:footer="720" w:gutter="0" w:header="720" w:left="2552" w:right="1418" w:top="1418"/>
      <w:lnNumType w:countBy="2" w:distance="283" w:restart="continuous"/>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7857" w:leader="none"/>
        <w:tab w:val="right" w:pos="9072" w:leader="none"/>
      </w:tabs>
      <w:rPr/>
    </w:pPr>
    <w:r>
      <w:rPr/>
      <w:t>MANUSCRIPT AUTHORS</w:t>
      <w:tab/>
      <w:tab/>
      <w:t>MANUSCRIPT SHORT TITLE</w:t>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5"/>
  <w:defaultTabStop w:val="708"/>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Hindi" w:eastAsia="WenQuanYi Micro Hei" w:hAnsi="Liberation Serif"/>
        <w:sz w:val="20"/>
        <w:szCs w:val="24"/>
        <w:lang w:bidi="hi-IN" w:eastAsia="zh-CN" w:val="en-GB"/>
      </w:rPr>
    </w:rPrDefault>
    <w:pPrDefault>
      <w:pPr/>
    </w:pPrDefault>
  </w:docDefaults>
  <w:style w:styleId="Normal" w:type="paragraph">
    <w:name w:val="Normal"/>
    <w:qFormat/>
    <w:pPr>
      <w:widowControl/>
      <w:overflowPunct w:val="false"/>
      <w:bidi w:val="0"/>
      <w:spacing w:line="360" w:lineRule="auto"/>
      <w:jc w:val="left"/>
      <w:textAlignment w:val="baseline"/>
    </w:pPr>
    <w:rPr>
      <w:rFonts w:ascii="Times New Roman" w:cs="Times New Roman" w:eastAsia="Times New Roman" w:hAnsi="Times New Roman"/>
      <w:color w:val="00000A"/>
      <w:sz w:val="24"/>
      <w:szCs w:val="20"/>
      <w:lang w:bidi="ar-SA" w:eastAsia="zh-CN" w:val="en-US"/>
    </w:rPr>
  </w:style>
  <w:style w:styleId="WW8Num1z0" w:type="character">
    <w:name w:val="WW8Num1z0"/>
    <w:qFormat/>
    <w:rPr>
      <w:rFonts w:ascii="Times New Roman" w:cs="Times New Roman" w:eastAsia="Times New Roman" w:hAnsi="Times New Roman"/>
    </w:rPr>
  </w:style>
  <w:style w:styleId="WW8Num1z1" w:type="character">
    <w:name w:val="WW8Num1z1"/>
    <w:qFormat/>
    <w:rPr>
      <w:rFonts w:ascii="Courier New" w:cs="Courier New" w:hAnsi="Courier New"/>
    </w:rPr>
  </w:style>
  <w:style w:styleId="WW8Num1z2" w:type="character">
    <w:name w:val="WW8Num1z2"/>
    <w:qFormat/>
    <w:rPr>
      <w:rFonts w:ascii="Wingdings" w:cs="Wingdings" w:hAnsi="Wingdings"/>
    </w:rPr>
  </w:style>
  <w:style w:styleId="WW8Num1z3" w:type="character">
    <w:name w:val="WW8Num1z3"/>
    <w:qFormat/>
    <w:rPr>
      <w:rFonts w:ascii="Symbol" w:cs="Symbol" w:hAnsi="Symbol"/>
    </w:rPr>
  </w:style>
  <w:style w:styleId="WW8Num2z0" w:type="character">
    <w:name w:val="WW8Num2z0"/>
    <w:qFormat/>
    <w:rPr>
      <w:rFonts w:ascii="Symbol" w:cs="Symbol" w:hAnsi="Symbol"/>
    </w:rPr>
  </w:style>
  <w:style w:styleId="WW8Num2z1" w:type="character">
    <w:name w:val="WW8Num2z1"/>
    <w:qFormat/>
    <w:rPr>
      <w:rFonts w:ascii="Courier New" w:cs="Courier New" w:hAnsi="Courier New"/>
    </w:rPr>
  </w:style>
  <w:style w:styleId="WW8Num2z2" w:type="character">
    <w:name w:val="WW8Num2z2"/>
    <w:qFormat/>
    <w:rPr>
      <w:rFonts w:ascii="Wingdings" w:cs="Wingdings" w:hAnsi="Wingdings"/>
    </w:rPr>
  </w:style>
  <w:style w:styleId="DefaultParagraphFont" w:type="character">
    <w:name w:val="Default Paragraph Font"/>
    <w:qFormat/>
    <w:rPr/>
  </w:style>
  <w:style w:styleId="PageNumber" w:type="character">
    <w:name w:val="Page Number"/>
    <w:basedOn w:val="DefaultParagraphFont"/>
    <w:rPr/>
  </w:style>
  <w:style w:styleId="InternetLink" w:type="character">
    <w:name w:val="Internet Link"/>
    <w:basedOn w:val="DefaultParagraphFont"/>
    <w:rPr>
      <w:color w:val="0000FF"/>
      <w:u w:val="single"/>
    </w:rPr>
  </w:style>
  <w:style w:styleId="LineNumbering" w:type="character">
    <w:name w:val="Line Numbering"/>
    <w:rPr/>
  </w:style>
  <w:style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styleId="TextBody" w:type="paragraph">
    <w:name w:val="Body Text"/>
    <w:basedOn w:val="Normal"/>
    <w:pPr>
      <w:spacing w:after="140" w:before="0" w:line="288" w:lineRule="auto"/>
    </w:pPr>
    <w:rPr/>
  </w:style>
  <w:style w:styleId="List" w:type="paragraph">
    <w:name w:val="List"/>
    <w:basedOn w:val="TextBody"/>
    <w:pPr/>
    <w:rPr>
      <w:rFonts w:cs="Lohit Hindi"/>
    </w:rPr>
  </w:style>
  <w:style w:styleId="Caption" w:type="paragraph">
    <w:name w:val="Caption"/>
    <w:basedOn w:val="Normal"/>
    <w:qFormat/>
    <w:pPr>
      <w:suppressLineNumbers/>
      <w:spacing w:after="120" w:before="120"/>
    </w:pPr>
    <w:rPr>
      <w:rFonts w:cs="Lohit Hindi"/>
      <w:i/>
      <w:iCs/>
      <w:sz w:val="24"/>
      <w:szCs w:val="24"/>
    </w:rPr>
  </w:style>
  <w:style w:styleId="Index" w:type="paragraph">
    <w:name w:val="Index"/>
    <w:basedOn w:val="Normal"/>
    <w:qFormat/>
    <w:pPr>
      <w:suppressLineNumbers/>
    </w:pPr>
    <w:rPr>
      <w:rFonts w:cs="Lohit Hindi"/>
    </w:rPr>
  </w:style>
  <w:style w:styleId="Header" w:type="paragraph">
    <w:name w:val="Header"/>
    <w:basedOn w:val="Normal"/>
    <w:pPr>
      <w:suppressLineNumbers/>
      <w:tabs>
        <w:tab w:leader="none" w:pos="4536" w:val="center"/>
        <w:tab w:leader="none" w:pos="9072" w:val="right"/>
      </w:tabs>
    </w:pPr>
    <w:rPr/>
  </w:style>
  <w:style w:styleId="Footer" w:type="paragraph">
    <w:name w:val="Footer"/>
    <w:basedOn w:val="Normal"/>
    <w:pPr>
      <w:suppressLineNumbers/>
      <w:tabs>
        <w:tab w:leader="none" w:pos="4536" w:val="center"/>
        <w:tab w:leader="none" w:pos="9072" w:val="right"/>
      </w:tabs>
    </w:pPr>
    <w:rPr/>
  </w:style>
  <w:style w:styleId="Abstract" w:type="paragraph">
    <w:name w:val="abstract"/>
    <w:basedOn w:val="Normal"/>
    <w:qFormat/>
    <w:pPr>
      <w:spacing w:after="0" w:before="120"/>
    </w:pPr>
    <w:rPr>
      <w:sz w:val="20"/>
    </w:rPr>
  </w:style>
  <w:style w:styleId="Abbreviations" w:type="paragraph">
    <w:name w:val="abbreviations"/>
    <w:basedOn w:val="Abstract"/>
    <w:next w:val="Normal"/>
    <w:qFormat/>
    <w:pPr>
      <w:tabs>
        <w:tab w:leader="none" w:pos="3402" w:val="left"/>
      </w:tabs>
      <w:ind w:hanging="3402" w:left="3402"/>
    </w:pPr>
    <w:rPr/>
  </w:style>
  <w:style w:styleId="Title" w:type="paragraph">
    <w:name w:val="title"/>
    <w:basedOn w:val="Normal"/>
    <w:qFormat/>
    <w:pPr/>
    <w:rPr>
      <w:rFonts w:ascii="Arial" w:cs="Arial" w:hAnsi="Arial"/>
      <w:b/>
      <w:sz w:val="36"/>
    </w:rPr>
  </w:style>
  <w:style w:styleId="Heading1" w:type="paragraph">
    <w:name w:val="heading1"/>
    <w:basedOn w:val="Normal"/>
    <w:next w:val="Normal"/>
    <w:qFormat/>
    <w:pPr>
      <w:keepNext/>
      <w:spacing w:after="180" w:before="240"/>
    </w:pPr>
    <w:rPr>
      <w:rFonts w:ascii="Arial" w:cs="Arial" w:hAnsi="Arial"/>
      <w:b/>
      <w:sz w:val="32"/>
    </w:rPr>
  </w:style>
  <w:style w:styleId="Heading2" w:type="paragraph">
    <w:name w:val="heading2"/>
    <w:basedOn w:val="Normal"/>
    <w:next w:val="Normal"/>
    <w:qFormat/>
    <w:pPr>
      <w:keepNext/>
      <w:spacing w:after="180" w:before="240"/>
    </w:pPr>
    <w:rPr>
      <w:rFonts w:ascii="Arial" w:cs="Arial" w:hAnsi="Arial"/>
      <w:b/>
    </w:rPr>
  </w:style>
  <w:style w:styleId="Heading3" w:type="paragraph">
    <w:name w:val="heading3"/>
    <w:basedOn w:val="Normal"/>
    <w:next w:val="Normal"/>
    <w:qFormat/>
    <w:pPr>
      <w:keepNext/>
      <w:spacing w:after="180" w:before="240"/>
    </w:pPr>
    <w:rPr>
      <w:rFonts w:ascii="Arial" w:cs="Arial" w:hAnsi="Arial"/>
      <w:i/>
    </w:rPr>
  </w:style>
  <w:style w:styleId="Runin" w:type="paragraph">
    <w:name w:val="run-in"/>
    <w:basedOn w:val="Normal"/>
    <w:next w:val="Normal"/>
    <w:qFormat/>
    <w:pPr>
      <w:keepNext/>
      <w:spacing w:after="0" w:before="120"/>
    </w:pPr>
    <w:rPr>
      <w:b/>
    </w:rPr>
  </w:style>
  <w:style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styleId="Acknowledgements" w:type="paragraph">
    <w:name w:val="acknowledgements"/>
    <w:basedOn w:val="Abstract"/>
    <w:next w:val="Normal"/>
    <w:qFormat/>
    <w:pPr>
      <w:spacing w:after="0" w:before="240"/>
    </w:pPr>
    <w:rPr/>
  </w:style>
  <w:style w:styleId="Author" w:type="paragraph">
    <w:name w:val="author"/>
    <w:basedOn w:val="Normal"/>
    <w:qFormat/>
    <w:pPr>
      <w:spacing w:after="0" w:before="120"/>
    </w:pPr>
    <w:rPr/>
  </w:style>
  <w:style w:styleId="Affiliation" w:type="paragraph">
    <w:name w:val="affiliation"/>
    <w:basedOn w:val="Normal"/>
    <w:qFormat/>
    <w:pPr>
      <w:spacing w:after="0" w:before="120" w:line="240" w:lineRule="auto"/>
    </w:pPr>
    <w:rPr>
      <w:i/>
    </w:rPr>
  </w:style>
  <w:style w:styleId="Email" w:type="paragraph">
    <w:name w:val="email"/>
    <w:basedOn w:val="Normal"/>
    <w:qFormat/>
    <w:pPr>
      <w:spacing w:after="0" w:before="120" w:line="240" w:lineRule="auto"/>
    </w:pPr>
    <w:rPr>
      <w:sz w:val="20"/>
    </w:rPr>
  </w:style>
  <w:style w:styleId="Phone" w:type="paragraph">
    <w:name w:val="phone"/>
    <w:basedOn w:val="Email"/>
    <w:qFormat/>
    <w:pPr/>
    <w:rPr/>
  </w:style>
  <w:style w:styleId="Fax" w:type="paragraph">
    <w:name w:val="fax"/>
    <w:basedOn w:val="Email"/>
    <w:qFormat/>
    <w:pPr/>
    <w:rPr/>
  </w:style>
  <w:style w:styleId="Keywords" w:type="paragraph">
    <w:name w:val="keywords"/>
    <w:basedOn w:val="Normal"/>
    <w:next w:val="Normal"/>
    <w:qFormat/>
    <w:pPr>
      <w:spacing w:after="0" w:before="120"/>
    </w:pPr>
    <w:rPr>
      <w:i/>
    </w:rPr>
  </w:style>
  <w:style w:styleId="Extraaddress" w:type="paragraph">
    <w:name w:val="extraaddress"/>
    <w:basedOn w:val="Email"/>
    <w:qFormat/>
    <w:pPr/>
    <w:rPr/>
  </w:style>
  <w:style w:styleId="Reference" w:type="paragraph">
    <w:name w:val="reference"/>
    <w:basedOn w:val="Normal"/>
    <w:qFormat/>
    <w:pPr/>
    <w:rPr>
      <w:sz w:val="20"/>
    </w:rPr>
  </w:style>
  <w:style w:styleId="Equation" w:type="paragraph">
    <w:name w:val="equation"/>
    <w:basedOn w:val="Normal"/>
    <w:next w:val="Normal"/>
    <w:qFormat/>
    <w:pPr>
      <w:spacing w:after="120" w:before="120"/>
      <w:jc w:val="center"/>
    </w:pPr>
    <w:rPr/>
  </w:style>
  <w:style w:styleId="Articlenote" w:type="paragraph">
    <w:name w:val="articlenote"/>
    <w:basedOn w:val="Normal"/>
    <w:next w:val="Normal"/>
    <w:qFormat/>
    <w:pPr>
      <w:spacing w:line="240" w:lineRule="auto"/>
    </w:pPr>
    <w:rPr>
      <w:sz w:val="22"/>
    </w:rPr>
  </w:style>
  <w:style w:styleId="Figlegend" w:type="paragraph">
    <w:name w:val="figlegend"/>
    <w:basedOn w:val="Normal"/>
    <w:next w:val="Normal"/>
    <w:qFormat/>
    <w:pPr>
      <w:spacing w:after="0" w:before="120"/>
    </w:pPr>
    <w:rPr>
      <w:sz w:val="20"/>
    </w:rPr>
  </w:style>
  <w:style w:styleId="Tablelegend" w:type="paragraph">
    <w:name w:val="tablelegend"/>
    <w:basedOn w:val="Normal"/>
    <w:next w:val="Normal"/>
    <w:qFormat/>
    <w:pPr>
      <w:spacing w:after="0" w:before="120"/>
    </w:pPr>
    <w:rPr>
      <w:sz w:val="20"/>
    </w:rPr>
  </w:style>
  <w:style w:styleId="Url" w:type="paragraph">
    <w:name w:val="url"/>
    <w:basedOn w:val="Email"/>
    <w:next w:val="Normal"/>
    <w:qFormat/>
    <w:pPr/>
    <w:rPr/>
  </w:style>
  <w:style w:styleId="WW8Num1" w:type="numbering">
    <w:name w:val="WW8Num1"/>
    <w:qFormat/>
  </w:style>
  <w:style w:styleId="WW8Num2" w:type="numbering">
    <w:name w:val="WW8Num2"/>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 Type="http://schemas.openxmlformats.org/officeDocument/2006/relationships/image" Id="rId27" Target="media/rId27.png" /><Relationship Type="http://schemas.openxmlformats.org/officeDocument/2006/relationships/hyperlink" Id="rId20" Target="https://github.com/StirlingCodingClub/Manuscripts_in_Rmarkdown" TargetMode="External" /><Relationship Type="http://schemas.openxmlformats.org/officeDocument/2006/relationships/hyperlink" Id="rId41" Target="https://github.com/StirlingCodingClub/Manuscripts_in_Rmarkdown/blob/master/data/Bumpus_data.csv" TargetMode="External" /><Relationship Type="http://schemas.openxmlformats.org/officeDocument/2006/relationships/hyperlink" Id="rId31" Target="https://github.com/StirlingCodingClub/Manuscripts_in_Rmarkdown/blob/master/ms.Rmd" TargetMode="External" /><Relationship Type="http://schemas.openxmlformats.org/officeDocument/2006/relationships/hyperlink" Id="rId32" Target="https://stirlingcodingclub.github.io/Manuscripts_in_Rmarkdown/Rmarkdown_notes.html" TargetMode="External" /><Relationship Type="http://schemas.openxmlformats.org/officeDocument/2006/relationships/hyperlink" Id="rId3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tirlingCodingClub/Manuscripts_in_Rmarkdown" TargetMode="External" /><Relationship Type="http://schemas.openxmlformats.org/officeDocument/2006/relationships/hyperlink" Id="rId41" Target="https://github.com/StirlingCodingClub/Manuscripts_in_Rmarkdown/blob/master/data/Bumpus_data.csv" TargetMode="External" /><Relationship Type="http://schemas.openxmlformats.org/officeDocument/2006/relationships/hyperlink" Id="rId31" Target="https://github.com/StirlingCodingClub/Manuscripts_in_Rmarkdown/blob/master/ms.Rmd" TargetMode="External" /><Relationship Type="http://schemas.openxmlformats.org/officeDocument/2006/relationships/hyperlink" Id="rId32" Target="https://stirlingcodingclub.github.io/Manuscripts_in_Rmarkdown/Rmarkdown_notes.html" TargetMode="External" /><Relationship Type="http://schemas.openxmlformats.org/officeDocument/2006/relationships/hyperlink" Id="rId3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3</Pages>
  <Words>165</Words>
  <Characters>951</Characters>
  <CharactersWithSpaces>1093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sparrow body length decreases survival</dc:title>
  <dc:creator>Brad Duthie</dc:creator>
  <cp:keywords/>
  <dcterms:created xsi:type="dcterms:W3CDTF">2023-02-08T12:25:36Z</dcterms:created>
  <dcterms:modified xsi:type="dcterms:W3CDTF">2023-02-08T12:25:36Z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evolution.csl</vt:lpwstr>
  </property>
  <property fmtid="{D5CDD505-2E9C-101B-9397-08002B2CF9AE}" pid="4" name="date">
    <vt:lpwstr>Biological and Environmental Sciences, University of Stirling, Stirling, UK, FK9 4LA</vt:lpwstr>
  </property>
  <property fmtid="{D5CDD505-2E9C-101B-9397-08002B2CF9AE}" pid="5" name="header-includes">
    <vt:lpwstr/>
  </property>
  <property fmtid="{D5CDD505-2E9C-101B-9397-08002B2CF9AE}" pid="6" name="linestretch">
    <vt:lpwstr>2</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y fmtid="{D5CDD505-2E9C-101B-9397-08002B2CF9AE}" pid="10" name="subtitle">
    <vt:lpwstr>A demonstration of Rmarkdown using Herman Bumpus’ data</vt:lpwstr>
  </property>
</Properties>
</file>