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4"/>
          <w:szCs w:val="34"/>
        </w:rPr>
        <w:t xml:space="preserve">Milestone 2 — Classificazione e Bug Prediction su Apache AVRO</w:t>
      </w:r>
    </w:p>
    <w:p>
      <w:pPr>
        <w:spacing w:after="30"/>
        <w:jc w:val="center"/>
      </w:pPr>
      <w:r>
        <w:rPr>
          <w:sz w:val="24"/>
          <w:szCs w:val="24"/>
        </w:rPr>
        <w:t xml:space="preserve">Difettosità a livello di classe (target Buggy) · tool Milestone2WekaEvaluation (Weka Java API 3.8.6)</w:t>
      </w:r>
    </w:p>
    <w:p>
      <w:pPr>
        <w:spacing w:after="240"/>
        <w:jc w:val="center"/>
      </w:pPr>
      <w:r>
        <w:rPr>
          <w:color w:val="555555"/>
          <w:sz w:val="20"/>
          <w:szCs w:val="20"/>
        </w:rPr>
        <w:t xml:space="preserve">ISW2 2025–2026 · Matteo Lagioia · Seed 42 · Esecuzione 30/07/2026</w:t>
      </w:r>
    </w:p>
    <w:p>
      <w:pPr>
        <w:pStyle w:val="Heading1"/>
        <w:spacing w:after="130" w:before="260"/>
      </w:pPr>
      <w:r>
        <w:t xml:space="preserve">1. Introduzione</w:t>
      </w:r>
    </w:p>
    <w:p>
      <w:pPr>
        <w:spacing w:after="140" w:line="276"/>
      </w:pPr>
      <w:r>
        <w:t xml:space="preserve">L'obiettivo della Milestone 2 è addestrare e confrontare modelli di </w:t>
      </w:r>
      <w:r>
        <w:rPr>
          <w:b/>
          <w:bCs/>
        </w:rPr>
        <w:t xml:space="preserve">bug prediction</w:t>
      </w:r>
      <w:r>
        <w:t xml:space="preserve"> a livello di classe sul dataset AVRO costruito in Milestone 1, valutando l'effetto di tre fattori metodologici (classificatore, feature selection, bilanciamento delle classi) sotto due tecniche di validazione. La milestone richiede il confronto di tre classificatori — </w:t>
      </w:r>
      <w:r>
        <w:rPr>
          <w:b/>
          <w:bCs/>
        </w:rPr>
        <w:t xml:space="preserve">Random Forest, Naïve Bayes e IBk (k-NN)</w:t>
      </w:r>
      <w:r>
        <w:t xml:space="preserve"> — e la misura di metriche classiche ed effort-aware, con l'accento sul controllo intellettuale di ogni scelta metodologica.</w:t>
      </w:r>
    </w:p>
    <w:p>
      <w:pPr>
        <w:spacing w:after="140" w:line="276"/>
      </w:pPr>
      <w:r>
        <w:t xml:space="preserve">Il dataset è organizzato per release ordinate temporalmente (ReleaseId), con la classe Buggy fortemente minoritaria (~14%). La variante principale analizzata è </w:t>
      </w:r>
      <w:r>
        <w:rPr>
          <w:b/>
          <w:bCs/>
        </w:rPr>
        <w:t xml:space="preserve">pct34_total_gh0_churn0</w:t>
      </w:r>
      <w:r>
        <w:t xml:space="preserve">; le restanti 15 varianti prodotte in M1 sono usate come analisi di sensibilità.</w:t>
      </w:r>
    </w:p>
    <w:p>
      <w:pPr>
        <w:pStyle w:val="Heading1"/>
        <w:spacing w:after="130" w:before="260"/>
      </w:pPr>
      <w:r>
        <w:t xml:space="preserve">2. Metodologia</w:t>
      </w:r>
    </w:p>
    <w:p>
      <w:pPr>
        <w:pStyle w:val="Heading2"/>
        <w:spacing w:after="90" w:before="180"/>
      </w:pPr>
      <w:r>
        <w:t xml:space="preserve">2.1 Classificatori</w:t>
      </w:r>
    </w:p>
    <w:p>
      <w:pPr>
        <w:spacing w:after="140" w:line="276"/>
      </w:pPr>
      <w:r>
        <w:t xml:space="preserve">Il confronto riguarda </w:t>
      </w:r>
      <w:r>
        <w:rPr>
          <w:b/>
          <w:bCs/>
        </w:rPr>
        <w:t xml:space="preserve">Random Forest</w:t>
      </w:r>
      <w:r>
        <w:t xml:space="preserve"> (default Weka, 100 alberi, profondità illimitata), </w:t>
      </w:r>
      <w:r>
        <w:rPr>
          <w:b/>
          <w:bCs/>
        </w:rPr>
        <w:t xml:space="preserve">Naïve Bayes</w:t>
      </w:r>
      <w:r>
        <w:t xml:space="preserve"> (default Weka, senza kernel estimator) e </w:t>
      </w:r>
      <w:r>
        <w:rPr>
          <w:b/>
          <w:bCs/>
        </w:rPr>
        <w:t xml:space="preserve">IBk</w:t>
      </w:r>
      <w:r>
        <w:t xml:space="preserve"> con k = 1 (default Weka, valore tipico del corso). La scelta dei tre algoritmi è imposta dalla specifica; si sono mantenuti i parametri di default, senza tuning degli iperparametri, per un confronto standard e riproducibile.</w:t>
      </w:r>
    </w:p>
    <w:p>
      <w:pPr>
        <w:pStyle w:val="Heading2"/>
        <w:spacing w:after="90" w:before="180"/>
      </w:pPr>
      <w:r>
        <w:t xml:space="preserve">2.2 Pipeline di pre-processing (leakage-safe)</w:t>
      </w:r>
    </w:p>
    <w:p>
      <w:pPr>
        <w:spacing w:after="140" w:line="276"/>
      </w:pPr>
      <w:r>
        <w:t xml:space="preserve">Tutti i filtri sono incapsulati in un </w:t>
      </w:r>
      <w:r>
        <w:rPr>
          <w:b/>
          <w:bCs/>
        </w:rPr>
        <w:t xml:space="preserve">FilteredClassifier</w:t>
      </w:r>
      <w:r>
        <w:t xml:space="preserve">, quindi fittati esclusivamente sul training fold e applicati al test senza mai osservarlo. Ordine della catena: rimozione degli identificativi string (Project, Path, Class, ReleaseId) via RemoveType, poi NominalToBinary, ReplaceMissingValues, Standardize, feature selection ed eventuale bilanciamento. Questo isolamento è la garanzia principale contro il </w:t>
      </w:r>
      <w:r>
        <w:rPr>
          <w:b/>
          <w:bCs/>
        </w:rPr>
        <w:t xml:space="preserve">data leakage</w:t>
      </w:r>
      <w:r>
        <w:t xml:space="preserve"> nel pre-processing.</w:t>
      </w:r>
    </w:p>
    <w:p>
      <w:pPr>
        <w:pStyle w:val="Heading2"/>
        <w:spacing w:after="90" w:before="180"/>
      </w:pPr>
      <w:r>
        <w:t xml:space="preserve">2.3 Feature selection (fattore Sì/No)</w:t>
      </w:r>
    </w:p>
    <w:p>
      <w:pPr>
        <w:spacing w:after="140" w:line="276"/>
      </w:pPr>
      <w:r>
        <w:t xml:space="preserve">Fattore attivabile/disattivabile: </w:t>
      </w:r>
      <w:r>
        <w:rPr>
          <w:b/>
          <w:bCs/>
        </w:rPr>
        <w:t xml:space="preserve">CFS</w:t>
      </w:r>
      <w:r>
        <w:t xml:space="preserve"> (CfsSubsetEval + ricerca greedy BestFirst con backtracking), che seleziona feature molto correlate col target ma poco tra loro. È disponibile anche InfoGain + Ranker come alternativa filter. Essendo dentro il FilteredClassifier, la selezione avviene per-fold.</w:t>
      </w:r>
    </w:p>
    <w:p>
      <w:pPr>
        <w:pStyle w:val="Heading2"/>
        <w:spacing w:after="90" w:before="180"/>
      </w:pPr>
      <w:r>
        <w:t xml:space="preserve">2.4 Bilanciamento delle classi</w:t>
      </w:r>
    </w:p>
    <w:p>
      <w:pPr>
        <w:spacing w:after="140" w:line="276"/>
      </w:pPr>
      <w:r>
        <w:t xml:space="preserve">Confronto di quattro livelli: </w:t>
      </w:r>
      <w:r>
        <w:rPr>
          <w:b/>
          <w:bCs/>
        </w:rPr>
        <w:t xml:space="preserve">nessuno, SMOTE, undersampling</w:t>
      </w:r>
      <w:r>
        <w:t xml:space="preserve"> (SpreadSubsample -M 1.0) e </w:t>
      </w:r>
      <w:r>
        <w:rPr>
          <w:b/>
          <w:bCs/>
        </w:rPr>
        <w:t xml:space="preserve">oversampling</w:t>
      </w:r>
      <w:r>
        <w:t xml:space="preserve"> (Resample -B 1.0 con -Z calcolato per pareggiare le classi). L'obiettivo è il bilanciamento 1:1; il balancing è l'ultimo anello della catena e agisce solo sul training set, lasciando al test la distribuzione reale.</w:t>
      </w:r>
    </w:p>
    <w:p>
      <w:pPr>
        <w:pStyle w:val="Heading2"/>
        <w:spacing w:after="90" w:before="180"/>
      </w:pPr>
      <w:r>
        <w:t xml:space="preserve">2.5 Tecniche di validazione</w:t>
      </w:r>
    </w:p>
    <w:p>
      <w:pPr>
        <w:spacing w:after="140" w:line="276"/>
      </w:pPr>
      <w:r>
        <w:rPr>
          <w:b/>
          <w:bCs/>
        </w:rPr>
        <w:t xml:space="preserve">10×10-fold cross-validation</w:t>
      </w:r>
      <w:r>
        <w:t xml:space="preserve"> (10 ripetizioni di 10-fold), richiesta dalla specifica come confronto equo tra modelli, e </w:t>
      </w:r>
      <w:r>
        <w:rPr>
          <w:b/>
          <w:bCs/>
        </w:rPr>
        <w:t xml:space="preserve">walk-forward</w:t>
      </w:r>
      <w:r>
        <w:t xml:space="preserve"> (across-release, ordinata per ReleaseId): training cumulativo (all'iterazione n si addestra sulle release 1…n−1), test sulla singola release successiva n, prima predizione sulla release 2 (min-train-periods = 1).</w:t>
      </w:r>
    </w:p>
    <w:p>
      <w:pPr>
        <w:spacing w:after="140" w:line="276"/>
      </w:pPr>
      <w:r>
        <w:t xml:space="preserve">La walk-forward preserva l'ordine temporale ed evita di usare dati futuri per predire il passato: è la validazione </w:t>
      </w:r>
      <w:r>
        <w:rPr>
          <w:b/>
          <w:bCs/>
        </w:rPr>
        <w:t xml:space="preserve">realistica</w:t>
      </w:r>
      <w:r>
        <w:t xml:space="preserve"> per la bug prediction. La cross-validation è mantenuta come termine di paragone per quantificare il bias temporale, non come performance attesa in produzione.</w:t>
      </w:r>
    </w:p>
    <w:p>
      <w:pPr>
        <w:pStyle w:val="Heading2"/>
        <w:spacing w:after="90" w:before="180"/>
      </w:pPr>
      <w:r>
        <w:t xml:space="preserve">2.6 Metriche</w:t>
      </w:r>
    </w:p>
    <w:p>
      <w:pPr>
        <w:spacing w:after="140" w:line="276"/>
      </w:pPr>
      <w:r>
        <w:t xml:space="preserve">Si riportano Precision, Recall, F1, AUC, </w:t>
      </w:r>
      <w:r>
        <w:rPr>
          <w:b/>
          <w:bCs/>
        </w:rPr>
        <w:t xml:space="preserve">Cohen's Kappa</w:t>
      </w:r>
      <w:r>
        <w:t xml:space="preserve"> e </w:t>
      </w:r>
      <w:r>
        <w:rPr>
          <w:b/>
          <w:bCs/>
        </w:rPr>
        <w:t xml:space="preserve">NPofB20</w:t>
      </w:r>
      <w:r>
        <w:t xml:space="preserve">. Kappa misura quanto il modello supera un classificatore banale ed è la metrica di riferimento del corso. NPofB20 è la metrica effort-aware: si ordinano le classi per densità di bug decrescente = P(bug) / LOC e si misura la frazione di bug individuati ispezionando il 20% delle LOC totali (normalizzazione di Falessi; effort = LOC). È la metrica prioritaria per la milestone.</w:t>
      </w:r>
    </w:p>
    <w:p>
      <w:pPr>
        <w:pStyle w:val="Heading2"/>
        <w:spacing w:after="90" w:before="180"/>
      </w:pPr>
      <w:r>
        <w:t xml:space="preserve">2.7 Disegno sperimentale</w:t>
      </w:r>
    </w:p>
    <w:p>
      <w:pPr>
        <w:spacing w:after="140" w:line="276"/>
      </w:pPr>
      <w:r>
        <w:t xml:space="preserve">Matrice completa di </w:t>
      </w:r>
      <w:r>
        <w:rPr>
          <w:b/>
          <w:bCs/>
        </w:rPr>
        <w:t xml:space="preserve">16 configurazioni</w:t>
      </w:r>
      <w:r>
        <w:t xml:space="preserve"> sulla variante principale: validazione {CV 10×10, walk-forward} × feature selection {nessuna, CFS} × balancing {nessuno, SMOTE, undersampling, oversampling}. Ogni run confronta i tre classificatori insieme. In aggiunta, una analisi di sensibilità con la configurazione baseline su tutti i 16 ARFF.</w:t>
      </w:r>
    </w:p>
    <w:p>
      <w:pPr>
        <w:pStyle w:val="Heading1"/>
        <w:spacing w:after="130" w:before="260"/>
      </w:pPr>
      <w:r>
        <w:t xml:space="preserve">3. Risultati (Research Questions)</w:t>
      </w:r>
    </w:p>
    <w:p>
      <w:pPr>
        <w:pStyle w:val="Heading2"/>
        <w:spacing w:after="90" w:before="180"/>
      </w:pPr>
      <w:r>
        <w:t xml:space="preserve">RQ1 — Qual è il classificatore migliore?</w:t>
      </w:r>
    </w:p>
    <w:p>
      <w:pPr>
        <w:spacing w:after="140" w:line="276"/>
      </w:pPr>
      <w:r>
        <w:rPr>
          <w:b/>
          <w:bCs/>
        </w:rPr>
        <w:t xml:space="preserve">Random Forest</w:t>
      </w:r>
      <w:r>
        <w:t xml:space="preserve">, in modo netto e consistente sotto entrambe le validazioni e su tutti i 16 dataset. In cross-validation raggiunge Kappa 0.87–0.88 e AUC 0.98; in walk-forward resta il migliore per Kappa (0.673). IBk è stabile secondo; Naïve Bayes è sistematicamente ultimo.</w:t>
      </w:r>
    </w:p>
    <w:p>
      <w:pPr>
        <w:spacing w:after="60" w:before="60"/>
      </w:pPr>
      <w:r>
        <w:rPr>
          <w:b/>
          <w:bCs/>
          <w:sz w:val="18"/>
          <w:szCs w:val="18"/>
        </w:rPr>
        <w:t xml:space="preserve">Tabella 1 — Leaderboard per Kappa, cross-validation 10×10 (ottimistica).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350"/>
        <w:gridCol w:w="1350"/>
        <w:gridCol w:w="1300"/>
      </w:tblGrid>
      <w:tr>
        <w:trPr>
          <w:tblHeader/>
        </w:trPr>
        <w:tc>
          <w:tcPr>
            <w:tcW w:type="dxa" w:w="2600"/>
            <w:shd w:fill="D9E1F2" w:val="clear"/>
            <w:tcMar>
              <w:top w:type="dxa" w:w="40"/>
              <w:left w:type="dxa" w:w="90"/>
              <w:bottom w:type="dxa" w:w="40"/>
              <w:right w:type="dxa" w:w="90"/>
            </w:tcMar>
          </w:tcPr>
          <w:p>
            <w:pPr>
              <w:spacing w:after="0" w:line="252"/>
              <w:jc w:val="left"/>
            </w:pPr>
            <w:r>
              <w:rPr>
                <w:b/>
                <w:bCs/>
              </w:rPr>
              <w:t xml:space="preserve">Config</w:t>
            </w:r>
          </w:p>
        </w:tc>
        <w:tc>
          <w:tcPr>
            <w:tcW w:type="dxa" w:w="2400"/>
            <w:shd w:fill="D9E1F2" w:val="clear"/>
            <w:tcMar>
              <w:top w:type="dxa" w:w="40"/>
              <w:left w:type="dxa" w:w="90"/>
              <w:bottom w:type="dxa" w:w="40"/>
              <w:right w:type="dxa" w:w="90"/>
            </w:tcMar>
          </w:tcPr>
          <w:p>
            <w:pPr>
              <w:spacing w:after="0" w:line="252"/>
              <w:jc w:val="center"/>
            </w:pPr>
            <w:r>
              <w:rPr>
                <w:b/>
                <w:bCs/>
              </w:rPr>
              <w:t xml:space="preserve">Classificatore</w:t>
            </w:r>
          </w:p>
        </w:tc>
        <w:tc>
          <w:tcPr>
            <w:tcW w:type="dxa" w:w="1350"/>
            <w:shd w:fill="D9E1F2" w:val="clear"/>
            <w:tcMar>
              <w:top w:type="dxa" w:w="40"/>
              <w:left w:type="dxa" w:w="90"/>
              <w:bottom w:type="dxa" w:w="40"/>
              <w:right w:type="dxa" w:w="90"/>
            </w:tcMar>
          </w:tcPr>
          <w:p>
            <w:pPr>
              <w:spacing w:after="0" w:line="252"/>
              <w:jc w:val="center"/>
            </w:pPr>
            <w:r>
              <w:rPr>
                <w:b/>
                <w:bCs/>
              </w:rPr>
              <w:t xml:space="preserve">Kappa</w:t>
            </w:r>
          </w:p>
        </w:tc>
        <w:tc>
          <w:tcPr>
            <w:tcW w:type="dxa" w:w="1350"/>
            <w:shd w:fill="D9E1F2" w:val="clear"/>
            <w:tcMar>
              <w:top w:type="dxa" w:w="40"/>
              <w:left w:type="dxa" w:w="90"/>
              <w:bottom w:type="dxa" w:w="40"/>
              <w:right w:type="dxa" w:w="90"/>
            </w:tcMar>
          </w:tcPr>
          <w:p>
            <w:pPr>
              <w:spacing w:after="0" w:line="252"/>
              <w:jc w:val="center"/>
            </w:pPr>
            <w:r>
              <w:rPr>
                <w:b/>
                <w:bCs/>
              </w:rPr>
              <w:t xml:space="preserve">AUC</w:t>
            </w:r>
          </w:p>
        </w:tc>
        <w:tc>
          <w:tcPr>
            <w:tcW w:type="dxa" w:w="1300"/>
            <w:shd w:fill="D9E1F2" w:val="clear"/>
            <w:tcMar>
              <w:top w:type="dxa" w:w="40"/>
              <w:left w:type="dxa" w:w="90"/>
              <w:bottom w:type="dxa" w:w="40"/>
              <w:right w:type="dxa" w:w="90"/>
            </w:tcMar>
          </w:tcPr>
          <w:p>
            <w:pPr>
              <w:spacing w:after="0" w:line="252"/>
              <w:jc w:val="center"/>
            </w:pPr>
            <w:r>
              <w:rPr>
                <w:b/>
                <w:bCs/>
              </w:rPr>
              <w:t xml:space="preserve">NPofB20</w:t>
            </w:r>
          </w:p>
        </w:tc>
      </w:tr>
      <w:tr>
        <w:tc>
          <w:tcPr>
            <w:tcW w:type="dxa" w:w="2600"/>
            <w:tcMar>
              <w:top w:type="dxa" w:w="40"/>
              <w:left w:type="dxa" w:w="90"/>
              <w:bottom w:type="dxa" w:w="40"/>
              <w:right w:type="dxa" w:w="90"/>
            </w:tcMar>
          </w:tcPr>
          <w:p>
            <w:pPr>
              <w:spacing w:after="0" w:line="252"/>
              <w:jc w:val="left"/>
            </w:pPr>
            <w:r>
              <w:rPr>
                <w:b w:val="false"/>
                <w:bCs w:val="false"/>
              </w:rPr>
              <w:t xml:space="preserve">none + SMOTE</w:t>
            </w:r>
          </w:p>
        </w:tc>
        <w:tc>
          <w:tcPr>
            <w:tcW w:type="dxa" w:w="2400"/>
            <w:tcMar>
              <w:top w:type="dxa" w:w="40"/>
              <w:left w:type="dxa" w:w="90"/>
              <w:bottom w:type="dxa" w:w="40"/>
              <w:right w:type="dxa" w:w="90"/>
            </w:tcMar>
          </w:tcPr>
          <w:p>
            <w:pPr>
              <w:spacing w:after="0" w:line="252"/>
              <w:jc w:val="center"/>
            </w:pPr>
            <w:r>
              <w:rPr>
                <w:b w:val="false"/>
                <w:bCs w:val="false"/>
              </w:rPr>
              <w:t xml:space="preserve">Random Forest</w:t>
            </w:r>
          </w:p>
        </w:tc>
        <w:tc>
          <w:tcPr>
            <w:tcW w:type="dxa" w:w="1350"/>
            <w:tcMar>
              <w:top w:type="dxa" w:w="40"/>
              <w:left w:type="dxa" w:w="90"/>
              <w:bottom w:type="dxa" w:w="40"/>
              <w:right w:type="dxa" w:w="90"/>
            </w:tcMar>
          </w:tcPr>
          <w:p>
            <w:pPr>
              <w:spacing w:after="0" w:line="252"/>
              <w:jc w:val="center"/>
            </w:pPr>
            <w:r>
              <w:rPr>
                <w:b w:val="false"/>
                <w:bCs w:val="false"/>
              </w:rPr>
              <w:t xml:space="preserve">0.880</w:t>
            </w:r>
          </w:p>
        </w:tc>
        <w:tc>
          <w:tcPr>
            <w:tcW w:type="dxa" w:w="1350"/>
            <w:tcMar>
              <w:top w:type="dxa" w:w="40"/>
              <w:left w:type="dxa" w:w="90"/>
              <w:bottom w:type="dxa" w:w="40"/>
              <w:right w:type="dxa" w:w="90"/>
            </w:tcMar>
          </w:tcPr>
          <w:p>
            <w:pPr>
              <w:spacing w:after="0" w:line="252"/>
              <w:jc w:val="center"/>
            </w:pPr>
            <w:r>
              <w:rPr>
                <w:b w:val="false"/>
                <w:bCs w:val="false"/>
              </w:rPr>
              <w:t xml:space="preserve">0.982</w:t>
            </w:r>
          </w:p>
        </w:tc>
        <w:tc>
          <w:tcPr>
            <w:tcW w:type="dxa" w:w="1300"/>
            <w:tcMar>
              <w:top w:type="dxa" w:w="40"/>
              <w:left w:type="dxa" w:w="90"/>
              <w:bottom w:type="dxa" w:w="40"/>
              <w:right w:type="dxa" w:w="90"/>
            </w:tcMar>
          </w:tcPr>
          <w:p>
            <w:pPr>
              <w:spacing w:after="0" w:line="252"/>
              <w:jc w:val="center"/>
            </w:pPr>
            <w:r>
              <w:rPr>
                <w:b w:val="false"/>
                <w:bCs w:val="false"/>
              </w:rPr>
              <w:t xml:space="preserve">0.893</w:t>
            </w:r>
          </w:p>
        </w:tc>
      </w:tr>
      <w:tr>
        <w:tc>
          <w:tcPr>
            <w:tcW w:type="dxa" w:w="2600"/>
            <w:tcMar>
              <w:top w:type="dxa" w:w="40"/>
              <w:left w:type="dxa" w:w="90"/>
              <w:bottom w:type="dxa" w:w="40"/>
              <w:right w:type="dxa" w:w="90"/>
            </w:tcMar>
          </w:tcPr>
          <w:p>
            <w:pPr>
              <w:spacing w:after="0" w:line="252"/>
              <w:jc w:val="left"/>
            </w:pPr>
            <w:r>
              <w:rPr>
                <w:b w:val="false"/>
                <w:bCs w:val="false"/>
              </w:rPr>
              <w:t xml:space="preserve">none + none</w:t>
            </w:r>
          </w:p>
        </w:tc>
        <w:tc>
          <w:tcPr>
            <w:tcW w:type="dxa" w:w="2400"/>
            <w:tcMar>
              <w:top w:type="dxa" w:w="40"/>
              <w:left w:type="dxa" w:w="90"/>
              <w:bottom w:type="dxa" w:w="40"/>
              <w:right w:type="dxa" w:w="90"/>
            </w:tcMar>
          </w:tcPr>
          <w:p>
            <w:pPr>
              <w:spacing w:after="0" w:line="252"/>
              <w:jc w:val="center"/>
            </w:pPr>
            <w:r>
              <w:rPr>
                <w:b w:val="false"/>
                <w:bCs w:val="false"/>
              </w:rPr>
              <w:t xml:space="preserve">Random Forest</w:t>
            </w:r>
          </w:p>
        </w:tc>
        <w:tc>
          <w:tcPr>
            <w:tcW w:type="dxa" w:w="1350"/>
            <w:tcMar>
              <w:top w:type="dxa" w:w="40"/>
              <w:left w:type="dxa" w:w="90"/>
              <w:bottom w:type="dxa" w:w="40"/>
              <w:right w:type="dxa" w:w="90"/>
            </w:tcMar>
          </w:tcPr>
          <w:p>
            <w:pPr>
              <w:spacing w:after="0" w:line="252"/>
              <w:jc w:val="center"/>
            </w:pPr>
            <w:r>
              <w:rPr>
                <w:b w:val="false"/>
                <w:bCs w:val="false"/>
              </w:rPr>
              <w:t xml:space="preserve">0.871</w:t>
            </w:r>
          </w:p>
        </w:tc>
        <w:tc>
          <w:tcPr>
            <w:tcW w:type="dxa" w:w="1350"/>
            <w:tcMar>
              <w:top w:type="dxa" w:w="40"/>
              <w:left w:type="dxa" w:w="90"/>
              <w:bottom w:type="dxa" w:w="40"/>
              <w:right w:type="dxa" w:w="90"/>
            </w:tcMar>
          </w:tcPr>
          <w:p>
            <w:pPr>
              <w:spacing w:after="0" w:line="252"/>
              <w:jc w:val="center"/>
            </w:pPr>
            <w:r>
              <w:rPr>
                <w:b w:val="false"/>
                <w:bCs w:val="false"/>
              </w:rPr>
              <w:t xml:space="preserve">0.982</w:t>
            </w:r>
          </w:p>
        </w:tc>
        <w:tc>
          <w:tcPr>
            <w:tcW w:type="dxa" w:w="1300"/>
            <w:tcMar>
              <w:top w:type="dxa" w:w="40"/>
              <w:left w:type="dxa" w:w="90"/>
              <w:bottom w:type="dxa" w:w="40"/>
              <w:right w:type="dxa" w:w="90"/>
            </w:tcMar>
          </w:tcPr>
          <w:p>
            <w:pPr>
              <w:spacing w:after="0" w:line="252"/>
              <w:jc w:val="center"/>
            </w:pPr>
            <w:r>
              <w:rPr>
                <w:b w:val="false"/>
                <w:bCs w:val="false"/>
              </w:rPr>
              <w:t xml:space="preserve">0.895</w:t>
            </w:r>
          </w:p>
        </w:tc>
      </w:tr>
      <w:tr>
        <w:tc>
          <w:tcPr>
            <w:tcW w:type="dxa" w:w="2600"/>
            <w:tcMar>
              <w:top w:type="dxa" w:w="40"/>
              <w:left w:type="dxa" w:w="90"/>
              <w:bottom w:type="dxa" w:w="40"/>
              <w:right w:type="dxa" w:w="90"/>
            </w:tcMar>
          </w:tcPr>
          <w:p>
            <w:pPr>
              <w:spacing w:after="0" w:line="252"/>
              <w:jc w:val="left"/>
            </w:pPr>
            <w:r>
              <w:rPr>
                <w:b w:val="false"/>
                <w:bCs w:val="false"/>
              </w:rPr>
              <w:t xml:space="preserve">none + oversampling</w:t>
            </w:r>
          </w:p>
        </w:tc>
        <w:tc>
          <w:tcPr>
            <w:tcW w:type="dxa" w:w="2400"/>
            <w:tcMar>
              <w:top w:type="dxa" w:w="40"/>
              <w:left w:type="dxa" w:w="90"/>
              <w:bottom w:type="dxa" w:w="40"/>
              <w:right w:type="dxa" w:w="90"/>
            </w:tcMar>
          </w:tcPr>
          <w:p>
            <w:pPr>
              <w:spacing w:after="0" w:line="252"/>
              <w:jc w:val="center"/>
            </w:pPr>
            <w:r>
              <w:rPr>
                <w:b w:val="false"/>
                <w:bCs w:val="false"/>
              </w:rPr>
              <w:t xml:space="preserve">Random Forest</w:t>
            </w:r>
          </w:p>
        </w:tc>
        <w:tc>
          <w:tcPr>
            <w:tcW w:type="dxa" w:w="1350"/>
            <w:tcMar>
              <w:top w:type="dxa" w:w="40"/>
              <w:left w:type="dxa" w:w="90"/>
              <w:bottom w:type="dxa" w:w="40"/>
              <w:right w:type="dxa" w:w="90"/>
            </w:tcMar>
          </w:tcPr>
          <w:p>
            <w:pPr>
              <w:spacing w:after="0" w:line="252"/>
              <w:jc w:val="center"/>
            </w:pPr>
            <w:r>
              <w:rPr>
                <w:b w:val="false"/>
                <w:bCs w:val="false"/>
              </w:rPr>
              <w:t xml:space="preserve">0.870</w:t>
            </w:r>
          </w:p>
        </w:tc>
        <w:tc>
          <w:tcPr>
            <w:tcW w:type="dxa" w:w="1350"/>
            <w:tcMar>
              <w:top w:type="dxa" w:w="40"/>
              <w:left w:type="dxa" w:w="90"/>
              <w:bottom w:type="dxa" w:w="40"/>
              <w:right w:type="dxa" w:w="90"/>
            </w:tcMar>
          </w:tcPr>
          <w:p>
            <w:pPr>
              <w:spacing w:after="0" w:line="252"/>
              <w:jc w:val="center"/>
            </w:pPr>
            <w:r>
              <w:rPr>
                <w:b w:val="false"/>
                <w:bCs w:val="false"/>
              </w:rPr>
              <w:t xml:space="preserve">0.982</w:t>
            </w:r>
          </w:p>
        </w:tc>
        <w:tc>
          <w:tcPr>
            <w:tcW w:type="dxa" w:w="1300"/>
            <w:tcMar>
              <w:top w:type="dxa" w:w="40"/>
              <w:left w:type="dxa" w:w="90"/>
              <w:bottom w:type="dxa" w:w="40"/>
              <w:right w:type="dxa" w:w="90"/>
            </w:tcMar>
          </w:tcPr>
          <w:p>
            <w:pPr>
              <w:spacing w:after="0" w:line="252"/>
              <w:jc w:val="center"/>
            </w:pPr>
            <w:r>
              <w:rPr>
                <w:b w:val="false"/>
                <w:bCs w:val="false"/>
              </w:rPr>
              <w:t xml:space="preserve">0.888</w:t>
            </w:r>
          </w:p>
        </w:tc>
      </w:tr>
      <w:tr>
        <w:tc>
          <w:tcPr>
            <w:tcW w:type="dxa" w:w="2600"/>
            <w:tcMar>
              <w:top w:type="dxa" w:w="40"/>
              <w:left w:type="dxa" w:w="90"/>
              <w:bottom w:type="dxa" w:w="40"/>
              <w:right w:type="dxa" w:w="90"/>
            </w:tcMar>
          </w:tcPr>
          <w:p>
            <w:pPr>
              <w:spacing w:after="0" w:line="252"/>
              <w:jc w:val="left"/>
            </w:pPr>
            <w:r>
              <w:rPr>
                <w:b w:val="false"/>
                <w:bCs w:val="false"/>
              </w:rPr>
              <w:t xml:space="preserve">none + none</w:t>
            </w:r>
          </w:p>
        </w:tc>
        <w:tc>
          <w:tcPr>
            <w:tcW w:type="dxa" w:w="2400"/>
            <w:tcMar>
              <w:top w:type="dxa" w:w="40"/>
              <w:left w:type="dxa" w:w="90"/>
              <w:bottom w:type="dxa" w:w="40"/>
              <w:right w:type="dxa" w:w="90"/>
            </w:tcMar>
          </w:tcPr>
          <w:p>
            <w:pPr>
              <w:spacing w:after="0" w:line="252"/>
              <w:jc w:val="center"/>
            </w:pPr>
            <w:r>
              <w:rPr>
                <w:b w:val="false"/>
                <w:bCs w:val="false"/>
              </w:rPr>
              <w:t xml:space="preserve">IBk</w:t>
            </w:r>
          </w:p>
        </w:tc>
        <w:tc>
          <w:tcPr>
            <w:tcW w:type="dxa" w:w="1350"/>
            <w:tcMar>
              <w:top w:type="dxa" w:w="40"/>
              <w:left w:type="dxa" w:w="90"/>
              <w:bottom w:type="dxa" w:w="40"/>
              <w:right w:type="dxa" w:w="90"/>
            </w:tcMar>
          </w:tcPr>
          <w:p>
            <w:pPr>
              <w:spacing w:after="0" w:line="252"/>
              <w:jc w:val="center"/>
            </w:pPr>
            <w:r>
              <w:rPr>
                <w:b w:val="false"/>
                <w:bCs w:val="false"/>
              </w:rPr>
              <w:t xml:space="preserve">0.798</w:t>
            </w:r>
          </w:p>
        </w:tc>
        <w:tc>
          <w:tcPr>
            <w:tcW w:type="dxa" w:w="1350"/>
            <w:tcMar>
              <w:top w:type="dxa" w:w="40"/>
              <w:left w:type="dxa" w:w="90"/>
              <w:bottom w:type="dxa" w:w="40"/>
              <w:right w:type="dxa" w:w="90"/>
            </w:tcMar>
          </w:tcPr>
          <w:p>
            <w:pPr>
              <w:spacing w:after="0" w:line="252"/>
              <w:jc w:val="center"/>
            </w:pPr>
            <w:r>
              <w:rPr>
                <w:b w:val="false"/>
                <w:bCs w:val="false"/>
              </w:rPr>
              <w:t xml:space="preserve">0.901</w:t>
            </w:r>
          </w:p>
        </w:tc>
        <w:tc>
          <w:tcPr>
            <w:tcW w:type="dxa" w:w="1300"/>
            <w:tcMar>
              <w:top w:type="dxa" w:w="40"/>
              <w:left w:type="dxa" w:w="90"/>
              <w:bottom w:type="dxa" w:w="40"/>
              <w:right w:type="dxa" w:w="90"/>
            </w:tcMar>
          </w:tcPr>
          <w:p>
            <w:pPr>
              <w:spacing w:after="0" w:line="252"/>
              <w:jc w:val="center"/>
            </w:pPr>
            <w:r>
              <w:rPr>
                <w:b w:val="false"/>
                <w:bCs w:val="false"/>
              </w:rPr>
              <w:t xml:space="preserve">0.828</w:t>
            </w:r>
          </w:p>
        </w:tc>
      </w:tr>
      <w:tr>
        <w:tc>
          <w:tcPr>
            <w:tcW w:type="dxa" w:w="2600"/>
            <w:tcMar>
              <w:top w:type="dxa" w:w="40"/>
              <w:left w:type="dxa" w:w="90"/>
              <w:bottom w:type="dxa" w:w="40"/>
              <w:right w:type="dxa" w:w="90"/>
            </w:tcMar>
          </w:tcPr>
          <w:p>
            <w:pPr>
              <w:spacing w:after="0" w:line="252"/>
              <w:jc w:val="left"/>
            </w:pPr>
            <w:r>
              <w:rPr>
                <w:b w:val="false"/>
                <w:bCs w:val="false"/>
              </w:rPr>
              <w:t xml:space="preserve">CFS + SMOTE</w:t>
            </w:r>
          </w:p>
        </w:tc>
        <w:tc>
          <w:tcPr>
            <w:tcW w:type="dxa" w:w="2400"/>
            <w:tcMar>
              <w:top w:type="dxa" w:w="40"/>
              <w:left w:type="dxa" w:w="90"/>
              <w:bottom w:type="dxa" w:w="40"/>
              <w:right w:type="dxa" w:w="90"/>
            </w:tcMar>
          </w:tcPr>
          <w:p>
            <w:pPr>
              <w:spacing w:after="0" w:line="252"/>
              <w:jc w:val="center"/>
            </w:pPr>
            <w:r>
              <w:rPr>
                <w:b w:val="false"/>
                <w:bCs w:val="false"/>
              </w:rPr>
              <w:t xml:space="preserve">Naïve Bayes</w:t>
            </w:r>
          </w:p>
        </w:tc>
        <w:tc>
          <w:tcPr>
            <w:tcW w:type="dxa" w:w="1350"/>
            <w:tcMar>
              <w:top w:type="dxa" w:w="40"/>
              <w:left w:type="dxa" w:w="90"/>
              <w:bottom w:type="dxa" w:w="40"/>
              <w:right w:type="dxa" w:w="90"/>
            </w:tcMar>
          </w:tcPr>
          <w:p>
            <w:pPr>
              <w:spacing w:after="0" w:line="252"/>
              <w:jc w:val="center"/>
            </w:pPr>
            <w:r>
              <w:rPr>
                <w:b w:val="false"/>
                <w:bCs w:val="false"/>
              </w:rPr>
              <w:t xml:space="preserve">0.514</w:t>
            </w:r>
          </w:p>
        </w:tc>
        <w:tc>
          <w:tcPr>
            <w:tcW w:type="dxa" w:w="1350"/>
            <w:tcMar>
              <w:top w:type="dxa" w:w="40"/>
              <w:left w:type="dxa" w:w="90"/>
              <w:bottom w:type="dxa" w:w="40"/>
              <w:right w:type="dxa" w:w="90"/>
            </w:tcMar>
          </w:tcPr>
          <w:p>
            <w:pPr>
              <w:spacing w:after="0" w:line="252"/>
              <w:jc w:val="center"/>
            </w:pPr>
            <w:r>
              <w:rPr>
                <w:b w:val="false"/>
                <w:bCs w:val="false"/>
              </w:rPr>
              <w:t xml:space="preserve">0.834</w:t>
            </w:r>
          </w:p>
        </w:tc>
        <w:tc>
          <w:tcPr>
            <w:tcW w:type="dxa" w:w="1300"/>
            <w:tcMar>
              <w:top w:type="dxa" w:w="40"/>
              <w:left w:type="dxa" w:w="90"/>
              <w:bottom w:type="dxa" w:w="40"/>
              <w:right w:type="dxa" w:w="90"/>
            </w:tcMar>
          </w:tcPr>
          <w:p>
            <w:pPr>
              <w:spacing w:after="0" w:line="252"/>
              <w:jc w:val="center"/>
            </w:pPr>
            <w:r>
              <w:rPr>
                <w:b w:val="false"/>
                <w:bCs w:val="false"/>
              </w:rPr>
              <w:t xml:space="preserve">0.752</w:t>
            </w:r>
          </w:p>
        </w:tc>
      </w:tr>
    </w:tbl>
    <w:p>
      <w:pPr>
        <w:spacing w:after="60" w:before="60"/>
      </w:pPr>
      <w:r>
        <w:rPr>
          <w:b/>
          <w:bCs/>
          <w:sz w:val="18"/>
          <w:szCs w:val="18"/>
        </w:rPr>
        <w:t xml:space="preserve">Tabella 2 — Leaderboard per Kappa, walk-forward (realistica).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350"/>
        <w:gridCol w:w="1350"/>
        <w:gridCol w:w="1300"/>
      </w:tblGrid>
      <w:tr>
        <w:trPr>
          <w:tblHeader/>
        </w:trPr>
        <w:tc>
          <w:tcPr>
            <w:tcW w:type="dxa" w:w="2600"/>
            <w:shd w:fill="D9E1F2" w:val="clear"/>
            <w:tcMar>
              <w:top w:type="dxa" w:w="40"/>
              <w:left w:type="dxa" w:w="90"/>
              <w:bottom w:type="dxa" w:w="40"/>
              <w:right w:type="dxa" w:w="90"/>
            </w:tcMar>
          </w:tcPr>
          <w:p>
            <w:pPr>
              <w:spacing w:after="0" w:line="252"/>
              <w:jc w:val="left"/>
            </w:pPr>
            <w:r>
              <w:rPr>
                <w:b/>
                <w:bCs/>
              </w:rPr>
              <w:t xml:space="preserve">Config</w:t>
            </w:r>
          </w:p>
        </w:tc>
        <w:tc>
          <w:tcPr>
            <w:tcW w:type="dxa" w:w="2400"/>
            <w:shd w:fill="D9E1F2" w:val="clear"/>
            <w:tcMar>
              <w:top w:type="dxa" w:w="40"/>
              <w:left w:type="dxa" w:w="90"/>
              <w:bottom w:type="dxa" w:w="40"/>
              <w:right w:type="dxa" w:w="90"/>
            </w:tcMar>
          </w:tcPr>
          <w:p>
            <w:pPr>
              <w:spacing w:after="0" w:line="252"/>
              <w:jc w:val="center"/>
            </w:pPr>
            <w:r>
              <w:rPr>
                <w:b/>
                <w:bCs/>
              </w:rPr>
              <w:t xml:space="preserve">Classificatore</w:t>
            </w:r>
          </w:p>
        </w:tc>
        <w:tc>
          <w:tcPr>
            <w:tcW w:type="dxa" w:w="1350"/>
            <w:shd w:fill="D9E1F2" w:val="clear"/>
            <w:tcMar>
              <w:top w:type="dxa" w:w="40"/>
              <w:left w:type="dxa" w:w="90"/>
              <w:bottom w:type="dxa" w:w="40"/>
              <w:right w:type="dxa" w:w="90"/>
            </w:tcMar>
          </w:tcPr>
          <w:p>
            <w:pPr>
              <w:spacing w:after="0" w:line="252"/>
              <w:jc w:val="center"/>
            </w:pPr>
            <w:r>
              <w:rPr>
                <w:b/>
                <w:bCs/>
              </w:rPr>
              <w:t xml:space="preserve">Kappa</w:t>
            </w:r>
          </w:p>
        </w:tc>
        <w:tc>
          <w:tcPr>
            <w:tcW w:type="dxa" w:w="1350"/>
            <w:shd w:fill="D9E1F2" w:val="clear"/>
            <w:tcMar>
              <w:top w:type="dxa" w:w="40"/>
              <w:left w:type="dxa" w:w="90"/>
              <w:bottom w:type="dxa" w:w="40"/>
              <w:right w:type="dxa" w:w="90"/>
            </w:tcMar>
          </w:tcPr>
          <w:p>
            <w:pPr>
              <w:spacing w:after="0" w:line="252"/>
              <w:jc w:val="center"/>
            </w:pPr>
            <w:r>
              <w:rPr>
                <w:b/>
                <w:bCs/>
              </w:rPr>
              <w:t xml:space="preserve">AUC</w:t>
            </w:r>
          </w:p>
        </w:tc>
        <w:tc>
          <w:tcPr>
            <w:tcW w:type="dxa" w:w="1300"/>
            <w:shd w:fill="D9E1F2" w:val="clear"/>
            <w:tcMar>
              <w:top w:type="dxa" w:w="40"/>
              <w:left w:type="dxa" w:w="90"/>
              <w:bottom w:type="dxa" w:w="40"/>
              <w:right w:type="dxa" w:w="90"/>
            </w:tcMar>
          </w:tcPr>
          <w:p>
            <w:pPr>
              <w:spacing w:after="0" w:line="252"/>
              <w:jc w:val="center"/>
            </w:pPr>
            <w:r>
              <w:rPr>
                <w:b/>
                <w:bCs/>
              </w:rPr>
              <w:t xml:space="preserve">NPofB20</w:t>
            </w:r>
          </w:p>
        </w:tc>
      </w:tr>
      <w:tr>
        <w:tc>
          <w:tcPr>
            <w:tcW w:type="dxa" w:w="2600"/>
            <w:tcMar>
              <w:top w:type="dxa" w:w="40"/>
              <w:left w:type="dxa" w:w="90"/>
              <w:bottom w:type="dxa" w:w="40"/>
              <w:right w:type="dxa" w:w="90"/>
            </w:tcMar>
          </w:tcPr>
          <w:p>
            <w:pPr>
              <w:spacing w:after="0" w:line="252"/>
              <w:jc w:val="left"/>
            </w:pPr>
            <w:r>
              <w:rPr>
                <w:b w:val="false"/>
                <w:bCs w:val="false"/>
              </w:rPr>
              <w:t xml:space="preserve">none + oversampling</w:t>
            </w:r>
          </w:p>
        </w:tc>
        <w:tc>
          <w:tcPr>
            <w:tcW w:type="dxa" w:w="2400"/>
            <w:tcMar>
              <w:top w:type="dxa" w:w="40"/>
              <w:left w:type="dxa" w:w="90"/>
              <w:bottom w:type="dxa" w:w="40"/>
              <w:right w:type="dxa" w:w="90"/>
            </w:tcMar>
          </w:tcPr>
          <w:p>
            <w:pPr>
              <w:spacing w:after="0" w:line="252"/>
              <w:jc w:val="center"/>
            </w:pPr>
            <w:r>
              <w:rPr>
                <w:b w:val="false"/>
                <w:bCs w:val="false"/>
              </w:rPr>
              <w:t xml:space="preserve">Random Forest</w:t>
            </w:r>
          </w:p>
        </w:tc>
        <w:tc>
          <w:tcPr>
            <w:tcW w:type="dxa" w:w="1350"/>
            <w:tcMar>
              <w:top w:type="dxa" w:w="40"/>
              <w:left w:type="dxa" w:w="90"/>
              <w:bottom w:type="dxa" w:w="40"/>
              <w:right w:type="dxa" w:w="90"/>
            </w:tcMar>
          </w:tcPr>
          <w:p>
            <w:pPr>
              <w:spacing w:after="0" w:line="252"/>
              <w:jc w:val="center"/>
            </w:pPr>
            <w:r>
              <w:rPr>
                <w:b w:val="false"/>
                <w:bCs w:val="false"/>
              </w:rPr>
              <w:t xml:space="preserve">0.673</w:t>
            </w:r>
          </w:p>
        </w:tc>
        <w:tc>
          <w:tcPr>
            <w:tcW w:type="dxa" w:w="1350"/>
            <w:tcMar>
              <w:top w:type="dxa" w:w="40"/>
              <w:left w:type="dxa" w:w="90"/>
              <w:bottom w:type="dxa" w:w="40"/>
              <w:right w:type="dxa" w:w="90"/>
            </w:tcMar>
          </w:tcPr>
          <w:p>
            <w:pPr>
              <w:spacing w:after="0" w:line="252"/>
              <w:jc w:val="center"/>
            </w:pPr>
            <w:r>
              <w:rPr>
                <w:b w:val="false"/>
                <w:bCs w:val="false"/>
              </w:rPr>
              <w:t xml:space="preserve">0.856</w:t>
            </w:r>
          </w:p>
        </w:tc>
        <w:tc>
          <w:tcPr>
            <w:tcW w:type="dxa" w:w="1300"/>
            <w:tcMar>
              <w:top w:type="dxa" w:w="40"/>
              <w:left w:type="dxa" w:w="90"/>
              <w:bottom w:type="dxa" w:w="40"/>
              <w:right w:type="dxa" w:w="90"/>
            </w:tcMar>
          </w:tcPr>
          <w:p>
            <w:pPr>
              <w:spacing w:after="0" w:line="252"/>
              <w:jc w:val="center"/>
            </w:pPr>
            <w:r>
              <w:rPr>
                <w:b w:val="false"/>
                <w:bCs w:val="false"/>
              </w:rPr>
              <w:t xml:space="preserve">0.574</w:t>
            </w:r>
          </w:p>
        </w:tc>
      </w:tr>
      <w:tr>
        <w:tc>
          <w:tcPr>
            <w:tcW w:type="dxa" w:w="2600"/>
            <w:tcMar>
              <w:top w:type="dxa" w:w="40"/>
              <w:left w:type="dxa" w:w="90"/>
              <w:bottom w:type="dxa" w:w="40"/>
              <w:right w:type="dxa" w:w="90"/>
            </w:tcMar>
          </w:tcPr>
          <w:p>
            <w:pPr>
              <w:spacing w:after="0" w:line="252"/>
              <w:jc w:val="left"/>
            </w:pPr>
            <w:r>
              <w:rPr>
                <w:b w:val="false"/>
                <w:bCs w:val="false"/>
              </w:rPr>
              <w:t xml:space="preserve">none + oversampling</w:t>
            </w:r>
          </w:p>
        </w:tc>
        <w:tc>
          <w:tcPr>
            <w:tcW w:type="dxa" w:w="2400"/>
            <w:tcMar>
              <w:top w:type="dxa" w:w="40"/>
              <w:left w:type="dxa" w:w="90"/>
              <w:bottom w:type="dxa" w:w="40"/>
              <w:right w:type="dxa" w:w="90"/>
            </w:tcMar>
          </w:tcPr>
          <w:p>
            <w:pPr>
              <w:spacing w:after="0" w:line="252"/>
              <w:jc w:val="center"/>
            </w:pPr>
            <w:r>
              <w:rPr>
                <w:b w:val="false"/>
                <w:bCs w:val="false"/>
              </w:rPr>
              <w:t xml:space="preserve">IBk</w:t>
            </w:r>
          </w:p>
        </w:tc>
        <w:tc>
          <w:tcPr>
            <w:tcW w:type="dxa" w:w="1350"/>
            <w:tcMar>
              <w:top w:type="dxa" w:w="40"/>
              <w:left w:type="dxa" w:w="90"/>
              <w:bottom w:type="dxa" w:w="40"/>
              <w:right w:type="dxa" w:w="90"/>
            </w:tcMar>
          </w:tcPr>
          <w:p>
            <w:pPr>
              <w:spacing w:after="0" w:line="252"/>
              <w:jc w:val="center"/>
            </w:pPr>
            <w:r>
              <w:rPr>
                <w:b w:val="false"/>
                <w:bCs w:val="false"/>
              </w:rPr>
              <w:t xml:space="preserve">0.667</w:t>
            </w:r>
          </w:p>
        </w:tc>
        <w:tc>
          <w:tcPr>
            <w:tcW w:type="dxa" w:w="1350"/>
            <w:tcMar>
              <w:top w:type="dxa" w:w="40"/>
              <w:left w:type="dxa" w:w="90"/>
              <w:bottom w:type="dxa" w:w="40"/>
              <w:right w:type="dxa" w:w="90"/>
            </w:tcMar>
          </w:tcPr>
          <w:p>
            <w:pPr>
              <w:spacing w:after="0" w:line="252"/>
              <w:jc w:val="center"/>
            </w:pPr>
            <w:r>
              <w:rPr>
                <w:b w:val="false"/>
                <w:bCs w:val="false"/>
              </w:rPr>
              <w:t xml:space="preserve">0.772</w:t>
            </w:r>
          </w:p>
        </w:tc>
        <w:tc>
          <w:tcPr>
            <w:tcW w:type="dxa" w:w="1300"/>
            <w:tcMar>
              <w:top w:type="dxa" w:w="40"/>
              <w:left w:type="dxa" w:w="90"/>
              <w:bottom w:type="dxa" w:w="40"/>
              <w:right w:type="dxa" w:w="90"/>
            </w:tcMar>
          </w:tcPr>
          <w:p>
            <w:pPr>
              <w:spacing w:after="0" w:line="252"/>
              <w:jc w:val="center"/>
            </w:pPr>
            <w:r>
              <w:rPr>
                <w:b w:val="false"/>
                <w:bCs w:val="false"/>
              </w:rPr>
              <w:t xml:space="preserve">0.526</w:t>
            </w:r>
          </w:p>
        </w:tc>
      </w:tr>
      <w:tr>
        <w:tc>
          <w:tcPr>
            <w:tcW w:type="dxa" w:w="2600"/>
            <w:tcMar>
              <w:top w:type="dxa" w:w="40"/>
              <w:left w:type="dxa" w:w="90"/>
              <w:bottom w:type="dxa" w:w="40"/>
              <w:right w:type="dxa" w:w="90"/>
            </w:tcMar>
          </w:tcPr>
          <w:p>
            <w:pPr>
              <w:spacing w:after="0" w:line="252"/>
              <w:jc w:val="left"/>
            </w:pPr>
            <w:r>
              <w:rPr>
                <w:b w:val="false"/>
                <w:bCs w:val="false"/>
              </w:rPr>
              <w:t xml:space="preserve">none + none</w:t>
            </w:r>
          </w:p>
        </w:tc>
        <w:tc>
          <w:tcPr>
            <w:tcW w:type="dxa" w:w="2400"/>
            <w:tcMar>
              <w:top w:type="dxa" w:w="40"/>
              <w:left w:type="dxa" w:w="90"/>
              <w:bottom w:type="dxa" w:w="40"/>
              <w:right w:type="dxa" w:w="90"/>
            </w:tcMar>
          </w:tcPr>
          <w:p>
            <w:pPr>
              <w:spacing w:after="0" w:line="252"/>
              <w:jc w:val="center"/>
            </w:pPr>
            <w:r>
              <w:rPr>
                <w:b w:val="false"/>
                <w:bCs w:val="false"/>
              </w:rPr>
              <w:t xml:space="preserve">IBk</w:t>
            </w:r>
          </w:p>
        </w:tc>
        <w:tc>
          <w:tcPr>
            <w:tcW w:type="dxa" w:w="1350"/>
            <w:tcMar>
              <w:top w:type="dxa" w:w="40"/>
              <w:left w:type="dxa" w:w="90"/>
              <w:bottom w:type="dxa" w:w="40"/>
              <w:right w:type="dxa" w:w="90"/>
            </w:tcMar>
          </w:tcPr>
          <w:p>
            <w:pPr>
              <w:spacing w:after="0" w:line="252"/>
              <w:jc w:val="center"/>
            </w:pPr>
            <w:r>
              <w:rPr>
                <w:b w:val="false"/>
                <w:bCs w:val="false"/>
              </w:rPr>
              <w:t xml:space="preserve">0.664</w:t>
            </w:r>
          </w:p>
        </w:tc>
        <w:tc>
          <w:tcPr>
            <w:tcW w:type="dxa" w:w="1350"/>
            <w:tcMar>
              <w:top w:type="dxa" w:w="40"/>
              <w:left w:type="dxa" w:w="90"/>
              <w:bottom w:type="dxa" w:w="40"/>
              <w:right w:type="dxa" w:w="90"/>
            </w:tcMar>
          </w:tcPr>
          <w:p>
            <w:pPr>
              <w:spacing w:after="0" w:line="252"/>
              <w:jc w:val="center"/>
            </w:pPr>
            <w:r>
              <w:rPr>
                <w:b w:val="false"/>
                <w:bCs w:val="false"/>
              </w:rPr>
              <w:t xml:space="preserve">0.770</w:t>
            </w:r>
          </w:p>
        </w:tc>
        <w:tc>
          <w:tcPr>
            <w:tcW w:type="dxa" w:w="1300"/>
            <w:tcMar>
              <w:top w:type="dxa" w:w="40"/>
              <w:left w:type="dxa" w:w="90"/>
              <w:bottom w:type="dxa" w:w="40"/>
              <w:right w:type="dxa" w:w="90"/>
            </w:tcMar>
          </w:tcPr>
          <w:p>
            <w:pPr>
              <w:spacing w:after="0" w:line="252"/>
              <w:jc w:val="center"/>
            </w:pPr>
            <w:r>
              <w:rPr>
                <w:b w:val="false"/>
                <w:bCs w:val="false"/>
              </w:rPr>
              <w:t xml:space="preserve">0.536</w:t>
            </w:r>
          </w:p>
        </w:tc>
      </w:tr>
      <w:tr>
        <w:tc>
          <w:tcPr>
            <w:tcW w:type="dxa" w:w="2600"/>
            <w:tcMar>
              <w:top w:type="dxa" w:w="40"/>
              <w:left w:type="dxa" w:w="90"/>
              <w:bottom w:type="dxa" w:w="40"/>
              <w:right w:type="dxa" w:w="90"/>
            </w:tcMar>
          </w:tcPr>
          <w:p>
            <w:pPr>
              <w:spacing w:after="0" w:line="252"/>
              <w:jc w:val="left"/>
            </w:pPr>
            <w:r>
              <w:rPr>
                <w:b w:val="false"/>
                <w:bCs w:val="false"/>
              </w:rPr>
              <w:t xml:space="preserve">none + SMOTE</w:t>
            </w:r>
          </w:p>
        </w:tc>
        <w:tc>
          <w:tcPr>
            <w:tcW w:type="dxa" w:w="2400"/>
            <w:tcMar>
              <w:top w:type="dxa" w:w="40"/>
              <w:left w:type="dxa" w:w="90"/>
              <w:bottom w:type="dxa" w:w="40"/>
              <w:right w:type="dxa" w:w="90"/>
            </w:tcMar>
          </w:tcPr>
          <w:p>
            <w:pPr>
              <w:spacing w:after="0" w:line="252"/>
              <w:jc w:val="center"/>
            </w:pPr>
            <w:r>
              <w:rPr>
                <w:b w:val="false"/>
                <w:bCs w:val="false"/>
              </w:rPr>
              <w:t xml:space="preserve">Random Forest</w:t>
            </w:r>
          </w:p>
        </w:tc>
        <w:tc>
          <w:tcPr>
            <w:tcW w:type="dxa" w:w="1350"/>
            <w:tcMar>
              <w:top w:type="dxa" w:w="40"/>
              <w:left w:type="dxa" w:w="90"/>
              <w:bottom w:type="dxa" w:w="40"/>
              <w:right w:type="dxa" w:w="90"/>
            </w:tcMar>
          </w:tcPr>
          <w:p>
            <w:pPr>
              <w:spacing w:after="0" w:line="252"/>
              <w:jc w:val="center"/>
            </w:pPr>
            <w:r>
              <w:rPr>
                <w:b w:val="false"/>
                <w:bCs w:val="false"/>
              </w:rPr>
              <w:t xml:space="preserve">0.656</w:t>
            </w:r>
          </w:p>
        </w:tc>
        <w:tc>
          <w:tcPr>
            <w:tcW w:type="dxa" w:w="1350"/>
            <w:tcMar>
              <w:top w:type="dxa" w:w="40"/>
              <w:left w:type="dxa" w:w="90"/>
              <w:bottom w:type="dxa" w:w="40"/>
              <w:right w:type="dxa" w:w="90"/>
            </w:tcMar>
          </w:tcPr>
          <w:p>
            <w:pPr>
              <w:spacing w:after="0" w:line="252"/>
              <w:jc w:val="center"/>
            </w:pPr>
            <w:r>
              <w:rPr>
                <w:b w:val="false"/>
                <w:bCs w:val="false"/>
              </w:rPr>
              <w:t xml:space="preserve">0.856</w:t>
            </w:r>
          </w:p>
        </w:tc>
        <w:tc>
          <w:tcPr>
            <w:tcW w:type="dxa" w:w="1300"/>
            <w:tcMar>
              <w:top w:type="dxa" w:w="40"/>
              <w:left w:type="dxa" w:w="90"/>
              <w:bottom w:type="dxa" w:w="40"/>
              <w:right w:type="dxa" w:w="90"/>
            </w:tcMar>
          </w:tcPr>
          <w:p>
            <w:pPr>
              <w:spacing w:after="0" w:line="252"/>
              <w:jc w:val="center"/>
            </w:pPr>
            <w:r>
              <w:rPr>
                <w:b w:val="false"/>
                <w:bCs w:val="false"/>
              </w:rPr>
              <w:t xml:space="preserve">0.582</w:t>
            </w:r>
          </w:p>
        </w:tc>
      </w:tr>
      <w:tr>
        <w:tc>
          <w:tcPr>
            <w:tcW w:type="dxa" w:w="2600"/>
            <w:tcMar>
              <w:top w:type="dxa" w:w="40"/>
              <w:left w:type="dxa" w:w="90"/>
              <w:bottom w:type="dxa" w:w="40"/>
              <w:right w:type="dxa" w:w="90"/>
            </w:tcMar>
          </w:tcPr>
          <w:p>
            <w:pPr>
              <w:spacing w:after="0" w:line="252"/>
              <w:jc w:val="left"/>
            </w:pPr>
            <w:r>
              <w:rPr>
                <w:b w:val="false"/>
                <w:bCs w:val="false"/>
              </w:rPr>
              <w:t xml:space="preserve">none + none</w:t>
            </w:r>
          </w:p>
        </w:tc>
        <w:tc>
          <w:tcPr>
            <w:tcW w:type="dxa" w:w="2400"/>
            <w:tcMar>
              <w:top w:type="dxa" w:w="40"/>
              <w:left w:type="dxa" w:w="90"/>
              <w:bottom w:type="dxa" w:w="40"/>
              <w:right w:type="dxa" w:w="90"/>
            </w:tcMar>
          </w:tcPr>
          <w:p>
            <w:pPr>
              <w:spacing w:after="0" w:line="252"/>
              <w:jc w:val="center"/>
            </w:pPr>
            <w:r>
              <w:rPr>
                <w:b w:val="false"/>
                <w:bCs w:val="false"/>
              </w:rPr>
              <w:t xml:space="preserve">Random Forest</w:t>
            </w:r>
          </w:p>
        </w:tc>
        <w:tc>
          <w:tcPr>
            <w:tcW w:type="dxa" w:w="1350"/>
            <w:tcMar>
              <w:top w:type="dxa" w:w="40"/>
              <w:left w:type="dxa" w:w="90"/>
              <w:bottom w:type="dxa" w:w="40"/>
              <w:right w:type="dxa" w:w="90"/>
            </w:tcMar>
          </w:tcPr>
          <w:p>
            <w:pPr>
              <w:spacing w:after="0" w:line="252"/>
              <w:jc w:val="center"/>
            </w:pPr>
            <w:r>
              <w:rPr>
                <w:b w:val="false"/>
                <w:bCs w:val="false"/>
              </w:rPr>
              <w:t xml:space="preserve">0.578</w:t>
            </w:r>
          </w:p>
        </w:tc>
        <w:tc>
          <w:tcPr>
            <w:tcW w:type="dxa" w:w="1350"/>
            <w:tcMar>
              <w:top w:type="dxa" w:w="40"/>
              <w:left w:type="dxa" w:w="90"/>
              <w:bottom w:type="dxa" w:w="40"/>
              <w:right w:type="dxa" w:w="90"/>
            </w:tcMar>
          </w:tcPr>
          <w:p>
            <w:pPr>
              <w:spacing w:after="0" w:line="252"/>
              <w:jc w:val="center"/>
            </w:pPr>
            <w:r>
              <w:rPr>
                <w:b w:val="false"/>
                <w:bCs w:val="false"/>
              </w:rPr>
              <w:t xml:space="preserve">0.866</w:t>
            </w:r>
          </w:p>
        </w:tc>
        <w:tc>
          <w:tcPr>
            <w:tcW w:type="dxa" w:w="1300"/>
            <w:tcMar>
              <w:top w:type="dxa" w:w="40"/>
              <w:left w:type="dxa" w:w="90"/>
              <w:bottom w:type="dxa" w:w="40"/>
              <w:right w:type="dxa" w:w="90"/>
            </w:tcMar>
          </w:tcPr>
          <w:p>
            <w:pPr>
              <w:spacing w:after="0" w:line="252"/>
              <w:jc w:val="center"/>
            </w:pPr>
            <w:r>
              <w:rPr>
                <w:b w:val="false"/>
                <w:bCs w:val="false"/>
              </w:rPr>
              <w:t xml:space="preserve">0.594</w:t>
            </w:r>
          </w:p>
        </w:tc>
      </w:tr>
    </w:tbl>
    <w:p>
      <w:pPr>
        <w:spacing w:after="40" w:before="12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52800"/>
                    </a:xfrm>
                    <a:prstGeom prst="rect">
                      <a:avLst/>
                    </a:prstGeom>
                  </pic:spPr>
                </pic:pic>
              </a:graphicData>
            </a:graphic>
          </wp:inline>
        </w:drawing>
      </w:r>
    </w:p>
    <w:p>
      <w:pPr>
        <w:spacing w:after="160"/>
        <w:jc w:val="center"/>
      </w:pPr>
      <w:r>
        <w:rPr>
          <w:i/>
          <w:iCs/>
          <w:color w:val="555555"/>
          <w:sz w:val="18"/>
          <w:szCs w:val="18"/>
        </w:rPr>
        <w:t xml:space="preserve">Figura 1 — Cross-validation vs walk-forward (variante principale, senza FS/balancing): il calo di Kappa e NPofB20 per RF e IBk quantifica l'ottimismo della CV.</w:t>
      </w:r>
    </w:p>
    <w:p>
      <w:pPr>
        <w:pStyle w:val="Heading2"/>
        <w:spacing w:after="90" w:before="180"/>
      </w:pPr>
      <w:r>
        <w:t xml:space="preserve">RQ2 — Il bilanciamento aiuta?</w:t>
      </w:r>
    </w:p>
    <w:p>
      <w:pPr>
        <w:spacing w:after="140" w:line="276"/>
      </w:pPr>
      <w:r>
        <w:t xml:space="preserve">Poco, e in modo dipendente dalla validazione. In cross-validation SMOTE dà a Random Forest un miglioramento marginale di Kappa (0.871 → 0.880); l'oversampling è equivalente al baseline. In walk-forward l'</w:t>
      </w:r>
      <w:r>
        <w:rPr>
          <w:b/>
          <w:bCs/>
        </w:rPr>
        <w:t xml:space="preserve">oversampling</w:t>
      </w:r>
      <w:r>
        <w:t xml:space="preserve"> è invece decisivo per il Kappa di RF (0.578 → 0.673, +0.095). L'</w:t>
      </w:r>
      <w:r>
        <w:rPr>
          <w:b/>
          <w:bCs/>
        </w:rPr>
        <w:t xml:space="preserve">undersampling</w:t>
      </w:r>
      <w:r>
        <w:t xml:space="preserve"> è la tecnica più dannosa in entrambe le validazioni. Sul piano effort-aware il balancing incide poco su NPofB20 (per RF senza FS resta 0.574–0.594 in walk-forward).</w:t>
      </w:r>
    </w:p>
    <w:p>
      <w:pPr>
        <w:pStyle w:val="Heading2"/>
        <w:spacing w:after="90" w:before="180"/>
      </w:pPr>
      <w:r>
        <w:t xml:space="preserve">RQ3 — La feature selection (CFS) migliora?</w:t>
      </w:r>
    </w:p>
    <w:p>
      <w:pPr>
        <w:spacing w:after="140" w:line="276"/>
      </w:pPr>
      <w:r>
        <w:rPr>
          <w:b/>
          <w:bCs/>
        </w:rPr>
        <w:t xml:space="preserve">No.</w:t>
      </w:r>
      <w:r>
        <w:t xml:space="preserve"> CFS peggiora Random Forest e IBk sotto entrambe le validazioni (RF CV: Kappa 0.871 → 0.795; AUC 0.982 → 0.939). L'unico beneficiario è Naïve Bayes, il cui Kappa in CV sale da 0.36 a 0.51 grazie alla rimozione di feature correlate che ne violano l'assunzione di indipendenza. Il risultato è coerente con la natura euristica della feature selection: su un dataset già pulito, ridurre le feature abbassa l'accuratezza in cambio di minore complessità; per RF e IBk il set completo è più informativo.</w:t>
      </w:r>
    </w:p>
    <w:p>
      <w:pPr>
        <w:pStyle w:val="Heading2"/>
        <w:spacing w:after="90" w:before="180"/>
      </w:pPr>
      <w:r>
        <w:t xml:space="preserve">RQ4 — Qual è la configurazione finale raccomandata?</w:t>
      </w:r>
    </w:p>
    <w:p>
      <w:pPr>
        <w:spacing w:after="140" w:line="276"/>
      </w:pPr>
      <w:r>
        <w:t xml:space="preserve">Con NPofB20 (walk-forward) come metrica prioritaria e Kappa (walk-forward) come criterio di compromesso, la scelta è </w:t>
      </w:r>
      <w:r>
        <w:rPr>
          <w:b/>
          <w:bCs/>
        </w:rPr>
        <w:t xml:space="preserve">Random Forest, nessuna feature selection, oversampling</w:t>
      </w:r>
      <w:r>
        <w:t xml:space="preserve">: Kappa 0.673 (massimo in walk-forward) con NPofB20 0.574. Tra le configurazioni RF senza FS l'NPofB20 varia poco (0.574–0.594) mentre il Kappa varia molto: l'oversampling massimizza il Kappa a fronte di un NPofB20 quasi invariato. La variante senza balancing (NPofB20 0.594, Kappa 0.578) è l'alternativa minimale citabile.</w:t>
      </w:r>
    </w:p>
    <w:p>
      <w:pPr>
        <w:spacing w:after="140" w:line="276"/>
      </w:pPr>
      <w:r>
        <w:rPr>
          <w:b/>
          <w:bCs/>
        </w:rPr>
        <w:t xml:space="preserve">Interpretazione dell'NPofB20.</w:t>
      </w:r>
      <w:r>
        <w:t xml:space="preserve"> Un NPofB20 ≈ 0.57 in walk-forward significa che, ispezionando solo il 20% del codice (in LOC), il modello individua il 57% dei bug totali. Un ordinamento casuale ne troverebbe circa il 20%: il modello offre quindi un guadagno quasi triplo rispetto al caso.</w:t>
      </w:r>
    </w:p>
    <w:p>
      <w:pPr>
        <w:pStyle w:val="Heading1"/>
        <w:spacing w:after="130" w:before="260"/>
      </w:pPr>
      <w:r>
        <w:t xml:space="preserve">4. Analisi di sensibilità</w:t>
      </w:r>
    </w:p>
    <w:p>
      <w:pPr>
        <w:spacing w:after="140" w:line="276"/>
      </w:pPr>
      <w:r>
        <w:t xml:space="preserve">Sulla configurazione baseline (CV, no-FS, no-balancing) applicata a tutti i 16 dataset di M1, la gerarchia tra classificatori è invariata e Random Forest domina ovunque.</w:t>
      </w:r>
    </w:p>
    <w:p>
      <w:pPr>
        <w:spacing w:after="60" w:before="60"/>
      </w:pPr>
      <w:r>
        <w:rPr>
          <w:b/>
          <w:bCs/>
          <w:sz w:val="18"/>
          <w:szCs w:val="18"/>
        </w:rPr>
        <w:t xml:space="preserve">Tabella 3 — Sensibilità sui 16 ARFF (baseline CV): medie e intervalli.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500"/>
        <w:gridCol w:w="1150"/>
        <w:gridCol w:w="1450"/>
        <w:gridCol w:w="760"/>
        <w:gridCol w:w="740"/>
      </w:tblGrid>
      <w:tr>
        <w:trPr>
          <w:tblHeader/>
        </w:trPr>
        <w:tc>
          <w:tcPr>
            <w:tcW w:type="dxa" w:w="2100"/>
            <w:shd w:fill="D9E1F2" w:val="clear"/>
            <w:tcMar>
              <w:top w:type="dxa" w:w="40"/>
              <w:left w:type="dxa" w:w="90"/>
              <w:bottom w:type="dxa" w:w="40"/>
              <w:right w:type="dxa" w:w="90"/>
            </w:tcMar>
          </w:tcPr>
          <w:p>
            <w:pPr>
              <w:spacing w:after="0" w:line="252"/>
              <w:jc w:val="left"/>
            </w:pPr>
            <w:r>
              <w:rPr>
                <w:b/>
                <w:bCs/>
              </w:rPr>
              <w:t xml:space="preserve">Classificatore</w:t>
            </w:r>
          </w:p>
        </w:tc>
        <w:tc>
          <w:tcPr>
            <w:tcW w:type="dxa" w:w="1300"/>
            <w:shd w:fill="D9E1F2" w:val="clear"/>
            <w:tcMar>
              <w:top w:type="dxa" w:w="40"/>
              <w:left w:type="dxa" w:w="90"/>
              <w:bottom w:type="dxa" w:w="40"/>
              <w:right w:type="dxa" w:w="90"/>
            </w:tcMar>
          </w:tcPr>
          <w:p>
            <w:pPr>
              <w:spacing w:after="0" w:line="252"/>
              <w:jc w:val="center"/>
            </w:pPr>
            <w:r>
              <w:rPr>
                <w:b/>
                <w:bCs/>
              </w:rPr>
              <w:t xml:space="preserve">Kappa medio</w:t>
            </w:r>
          </w:p>
        </w:tc>
        <w:tc>
          <w:tcPr>
            <w:tcW w:type="dxa" w:w="1500"/>
            <w:shd w:fill="D9E1F2" w:val="clear"/>
            <w:tcMar>
              <w:top w:type="dxa" w:w="40"/>
              <w:left w:type="dxa" w:w="90"/>
              <w:bottom w:type="dxa" w:w="40"/>
              <w:right w:type="dxa" w:w="90"/>
            </w:tcMar>
          </w:tcPr>
          <w:p>
            <w:pPr>
              <w:spacing w:after="0" w:line="252"/>
              <w:jc w:val="center"/>
            </w:pPr>
            <w:r>
              <w:rPr>
                <w:b/>
                <w:bCs/>
              </w:rPr>
              <w:t xml:space="preserve">min–max</w:t>
            </w:r>
          </w:p>
        </w:tc>
        <w:tc>
          <w:tcPr>
            <w:tcW w:type="dxa" w:w="1150"/>
            <w:shd w:fill="D9E1F2" w:val="clear"/>
            <w:tcMar>
              <w:top w:type="dxa" w:w="40"/>
              <w:left w:type="dxa" w:w="90"/>
              <w:bottom w:type="dxa" w:w="40"/>
              <w:right w:type="dxa" w:w="90"/>
            </w:tcMar>
          </w:tcPr>
          <w:p>
            <w:pPr>
              <w:spacing w:after="0" w:line="252"/>
              <w:jc w:val="center"/>
            </w:pPr>
            <w:r>
              <w:rPr>
                <w:b/>
                <w:bCs/>
              </w:rPr>
              <w:t xml:space="preserve">AUC medio</w:t>
            </w:r>
          </w:p>
        </w:tc>
        <w:tc>
          <w:tcPr>
            <w:tcW w:type="dxa" w:w="1450"/>
            <w:shd w:fill="D9E1F2" w:val="clear"/>
            <w:tcMar>
              <w:top w:type="dxa" w:w="40"/>
              <w:left w:type="dxa" w:w="90"/>
              <w:bottom w:type="dxa" w:w="40"/>
              <w:right w:type="dxa" w:w="90"/>
            </w:tcMar>
          </w:tcPr>
          <w:p>
            <w:pPr>
              <w:spacing w:after="0" w:line="252"/>
              <w:jc w:val="center"/>
            </w:pPr>
            <w:r>
              <w:rPr>
                <w:b/>
                <w:bCs/>
              </w:rPr>
              <w:t xml:space="preserve">NPofB20 medio</w:t>
            </w:r>
          </w:p>
        </w:tc>
        <w:tc>
          <w:tcPr>
            <w:tcW w:type="dxa" w:w="760"/>
            <w:shd w:fill="D9E1F2" w:val="clear"/>
            <w:tcMar>
              <w:top w:type="dxa" w:w="40"/>
              <w:left w:type="dxa" w:w="90"/>
              <w:bottom w:type="dxa" w:w="40"/>
              <w:right w:type="dxa" w:w="90"/>
            </w:tcMar>
          </w:tcPr>
          <w:p>
            <w:pPr>
              <w:spacing w:after="0" w:line="252"/>
              <w:jc w:val="center"/>
            </w:pPr>
            <w:r>
              <w:rPr>
                <w:b/>
                <w:bCs/>
              </w:rPr>
              <w:t xml:space="preserve">pct20</w:t>
            </w:r>
          </w:p>
        </w:tc>
        <w:tc>
          <w:tcPr>
            <w:tcW w:type="dxa" w:w="740"/>
            <w:shd w:fill="D9E1F2" w:val="clear"/>
            <w:tcMar>
              <w:top w:type="dxa" w:w="40"/>
              <w:left w:type="dxa" w:w="90"/>
              <w:bottom w:type="dxa" w:w="40"/>
              <w:right w:type="dxa" w:w="90"/>
            </w:tcMar>
          </w:tcPr>
          <w:p>
            <w:pPr>
              <w:spacing w:after="0" w:line="252"/>
              <w:jc w:val="center"/>
            </w:pPr>
            <w:r>
              <w:rPr>
                <w:b/>
                <w:bCs/>
              </w:rPr>
              <w:t xml:space="preserve">pct34</w:t>
            </w:r>
          </w:p>
        </w:tc>
      </w:tr>
      <w:tr>
        <w:tc>
          <w:tcPr>
            <w:tcW w:type="dxa" w:w="2100"/>
            <w:tcMar>
              <w:top w:type="dxa" w:w="40"/>
              <w:left w:type="dxa" w:w="90"/>
              <w:bottom w:type="dxa" w:w="40"/>
              <w:right w:type="dxa" w:w="90"/>
            </w:tcMar>
          </w:tcPr>
          <w:p>
            <w:pPr>
              <w:spacing w:after="0" w:line="252"/>
              <w:jc w:val="left"/>
            </w:pPr>
            <w:r>
              <w:rPr>
                <w:b w:val="false"/>
                <w:bCs w:val="false"/>
              </w:rPr>
              <w:t xml:space="preserve">Random Forest</w:t>
            </w:r>
          </w:p>
        </w:tc>
        <w:tc>
          <w:tcPr>
            <w:tcW w:type="dxa" w:w="1300"/>
            <w:tcMar>
              <w:top w:type="dxa" w:w="40"/>
              <w:left w:type="dxa" w:w="90"/>
              <w:bottom w:type="dxa" w:w="40"/>
              <w:right w:type="dxa" w:w="90"/>
            </w:tcMar>
          </w:tcPr>
          <w:p>
            <w:pPr>
              <w:spacing w:after="0" w:line="252"/>
              <w:jc w:val="center"/>
            </w:pPr>
            <w:r>
              <w:rPr>
                <w:b w:val="false"/>
                <w:bCs w:val="false"/>
              </w:rPr>
              <w:t xml:space="preserve">0.892</w:t>
            </w:r>
          </w:p>
        </w:tc>
        <w:tc>
          <w:tcPr>
            <w:tcW w:type="dxa" w:w="1500"/>
            <w:tcMar>
              <w:top w:type="dxa" w:w="40"/>
              <w:left w:type="dxa" w:w="90"/>
              <w:bottom w:type="dxa" w:w="40"/>
              <w:right w:type="dxa" w:w="90"/>
            </w:tcMar>
          </w:tcPr>
          <w:p>
            <w:pPr>
              <w:spacing w:after="0" w:line="252"/>
              <w:jc w:val="center"/>
            </w:pPr>
            <w:r>
              <w:rPr>
                <w:b w:val="false"/>
                <w:bCs w:val="false"/>
              </w:rPr>
              <w:t xml:space="preserve">0.871–0.930</w:t>
            </w:r>
          </w:p>
        </w:tc>
        <w:tc>
          <w:tcPr>
            <w:tcW w:type="dxa" w:w="1150"/>
            <w:tcMar>
              <w:top w:type="dxa" w:w="40"/>
              <w:left w:type="dxa" w:w="90"/>
              <w:bottom w:type="dxa" w:w="40"/>
              <w:right w:type="dxa" w:w="90"/>
            </w:tcMar>
          </w:tcPr>
          <w:p>
            <w:pPr>
              <w:spacing w:after="0" w:line="252"/>
              <w:jc w:val="center"/>
            </w:pPr>
            <w:r>
              <w:rPr>
                <w:b w:val="false"/>
                <w:bCs w:val="false"/>
              </w:rPr>
              <w:t xml:space="preserve">0.982</w:t>
            </w:r>
          </w:p>
        </w:tc>
        <w:tc>
          <w:tcPr>
            <w:tcW w:type="dxa" w:w="1450"/>
            <w:tcMar>
              <w:top w:type="dxa" w:w="40"/>
              <w:left w:type="dxa" w:w="90"/>
              <w:bottom w:type="dxa" w:w="40"/>
              <w:right w:type="dxa" w:w="90"/>
            </w:tcMar>
          </w:tcPr>
          <w:p>
            <w:pPr>
              <w:spacing w:after="0" w:line="252"/>
              <w:jc w:val="center"/>
            </w:pPr>
            <w:r>
              <w:rPr>
                <w:b w:val="false"/>
                <w:bCs w:val="false"/>
              </w:rPr>
              <w:t xml:space="preserve">0.875</w:t>
            </w:r>
          </w:p>
        </w:tc>
        <w:tc>
          <w:tcPr>
            <w:tcW w:type="dxa" w:w="760"/>
            <w:tcMar>
              <w:top w:type="dxa" w:w="40"/>
              <w:left w:type="dxa" w:w="90"/>
              <w:bottom w:type="dxa" w:w="40"/>
              <w:right w:type="dxa" w:w="90"/>
            </w:tcMar>
          </w:tcPr>
          <w:p>
            <w:pPr>
              <w:spacing w:after="0" w:line="252"/>
              <w:jc w:val="center"/>
            </w:pPr>
            <w:r>
              <w:rPr>
                <w:b w:val="false"/>
                <w:bCs w:val="false"/>
              </w:rPr>
              <w:t xml:space="preserve">0.914</w:t>
            </w:r>
          </w:p>
        </w:tc>
        <w:tc>
          <w:tcPr>
            <w:tcW w:type="dxa" w:w="740"/>
            <w:tcMar>
              <w:top w:type="dxa" w:w="40"/>
              <w:left w:type="dxa" w:w="90"/>
              <w:bottom w:type="dxa" w:w="40"/>
              <w:right w:type="dxa" w:w="90"/>
            </w:tcMar>
          </w:tcPr>
          <w:p>
            <w:pPr>
              <w:spacing w:after="0" w:line="252"/>
              <w:jc w:val="center"/>
            </w:pPr>
            <w:r>
              <w:rPr>
                <w:b w:val="false"/>
                <w:bCs w:val="false"/>
              </w:rPr>
              <w:t xml:space="preserve">0.871</w:t>
            </w:r>
          </w:p>
        </w:tc>
      </w:tr>
      <w:tr>
        <w:tc>
          <w:tcPr>
            <w:tcW w:type="dxa" w:w="2100"/>
            <w:tcMar>
              <w:top w:type="dxa" w:w="40"/>
              <w:left w:type="dxa" w:w="90"/>
              <w:bottom w:type="dxa" w:w="40"/>
              <w:right w:type="dxa" w:w="90"/>
            </w:tcMar>
          </w:tcPr>
          <w:p>
            <w:pPr>
              <w:spacing w:after="0" w:line="252"/>
              <w:jc w:val="left"/>
            </w:pPr>
            <w:r>
              <w:rPr>
                <w:b w:val="false"/>
                <w:bCs w:val="false"/>
              </w:rPr>
              <w:t xml:space="preserve">IBk (k=1)</w:t>
            </w:r>
          </w:p>
        </w:tc>
        <w:tc>
          <w:tcPr>
            <w:tcW w:type="dxa" w:w="1300"/>
            <w:tcMar>
              <w:top w:type="dxa" w:w="40"/>
              <w:left w:type="dxa" w:w="90"/>
              <w:bottom w:type="dxa" w:w="40"/>
              <w:right w:type="dxa" w:w="90"/>
            </w:tcMar>
          </w:tcPr>
          <w:p>
            <w:pPr>
              <w:spacing w:after="0" w:line="252"/>
              <w:jc w:val="center"/>
            </w:pPr>
            <w:r>
              <w:rPr>
                <w:b w:val="false"/>
                <w:bCs w:val="false"/>
              </w:rPr>
              <w:t xml:space="preserve">0.814</w:t>
            </w:r>
          </w:p>
        </w:tc>
        <w:tc>
          <w:tcPr>
            <w:tcW w:type="dxa" w:w="1500"/>
            <w:tcMar>
              <w:top w:type="dxa" w:w="40"/>
              <w:left w:type="dxa" w:w="90"/>
              <w:bottom w:type="dxa" w:w="40"/>
              <w:right w:type="dxa" w:w="90"/>
            </w:tcMar>
          </w:tcPr>
          <w:p>
            <w:pPr>
              <w:spacing w:after="0" w:line="252"/>
              <w:jc w:val="center"/>
            </w:pPr>
            <w:r>
              <w:rPr>
                <w:b w:val="false"/>
                <w:bCs w:val="false"/>
              </w:rPr>
              <w:t xml:space="preserve">0.752–0.868</w:t>
            </w:r>
          </w:p>
        </w:tc>
        <w:tc>
          <w:tcPr>
            <w:tcW w:type="dxa" w:w="1150"/>
            <w:tcMar>
              <w:top w:type="dxa" w:w="40"/>
              <w:left w:type="dxa" w:w="90"/>
              <w:bottom w:type="dxa" w:w="40"/>
              <w:right w:type="dxa" w:w="90"/>
            </w:tcMar>
          </w:tcPr>
          <w:p>
            <w:pPr>
              <w:spacing w:after="0" w:line="252"/>
              <w:jc w:val="center"/>
            </w:pPr>
            <w:r>
              <w:rPr>
                <w:b w:val="false"/>
                <w:bCs w:val="false"/>
              </w:rPr>
              <w:t xml:space="preserve">0.910</w:t>
            </w:r>
          </w:p>
        </w:tc>
        <w:tc>
          <w:tcPr>
            <w:tcW w:type="dxa" w:w="1450"/>
            <w:tcMar>
              <w:top w:type="dxa" w:w="40"/>
              <w:left w:type="dxa" w:w="90"/>
              <w:bottom w:type="dxa" w:w="40"/>
              <w:right w:type="dxa" w:w="90"/>
            </w:tcMar>
          </w:tcPr>
          <w:p>
            <w:pPr>
              <w:spacing w:after="0" w:line="252"/>
              <w:jc w:val="center"/>
            </w:pPr>
            <w:r>
              <w:rPr>
                <w:b w:val="false"/>
                <w:bCs w:val="false"/>
              </w:rPr>
              <w:t xml:space="preserve">0.822</w:t>
            </w:r>
          </w:p>
        </w:tc>
        <w:tc>
          <w:tcPr>
            <w:tcW w:type="dxa" w:w="760"/>
            <w:tcMar>
              <w:top w:type="dxa" w:w="40"/>
              <w:left w:type="dxa" w:w="90"/>
              <w:bottom w:type="dxa" w:w="40"/>
              <w:right w:type="dxa" w:w="90"/>
            </w:tcMar>
          </w:tcPr>
          <w:p>
            <w:pPr>
              <w:spacing w:after="0" w:line="252"/>
              <w:jc w:val="center"/>
            </w:pPr>
            <w:r>
              <w:rPr>
                <w:b w:val="false"/>
                <w:bCs w:val="false"/>
              </w:rPr>
              <w:t xml:space="preserve">0.852</w:t>
            </w:r>
          </w:p>
        </w:tc>
        <w:tc>
          <w:tcPr>
            <w:tcW w:type="dxa" w:w="740"/>
            <w:tcMar>
              <w:top w:type="dxa" w:w="40"/>
              <w:left w:type="dxa" w:w="90"/>
              <w:bottom w:type="dxa" w:w="40"/>
              <w:right w:type="dxa" w:w="90"/>
            </w:tcMar>
          </w:tcPr>
          <w:p>
            <w:pPr>
              <w:spacing w:after="0" w:line="252"/>
              <w:jc w:val="center"/>
            </w:pPr>
            <w:r>
              <w:rPr>
                <w:b w:val="false"/>
                <w:bCs w:val="false"/>
              </w:rPr>
              <w:t xml:space="preserve">0.775</w:t>
            </w:r>
          </w:p>
        </w:tc>
      </w:tr>
      <w:tr>
        <w:tc>
          <w:tcPr>
            <w:tcW w:type="dxa" w:w="2100"/>
            <w:tcMar>
              <w:top w:type="dxa" w:w="40"/>
              <w:left w:type="dxa" w:w="90"/>
              <w:bottom w:type="dxa" w:w="40"/>
              <w:right w:type="dxa" w:w="90"/>
            </w:tcMar>
          </w:tcPr>
          <w:p>
            <w:pPr>
              <w:spacing w:after="0" w:line="252"/>
              <w:jc w:val="left"/>
            </w:pPr>
            <w:r>
              <w:rPr>
                <w:b w:val="false"/>
                <w:bCs w:val="false"/>
              </w:rPr>
              <w:t xml:space="preserve">Naïve Bayes</w:t>
            </w:r>
          </w:p>
        </w:tc>
        <w:tc>
          <w:tcPr>
            <w:tcW w:type="dxa" w:w="1300"/>
            <w:tcMar>
              <w:top w:type="dxa" w:w="40"/>
              <w:left w:type="dxa" w:w="90"/>
              <w:bottom w:type="dxa" w:w="40"/>
              <w:right w:type="dxa" w:w="90"/>
            </w:tcMar>
          </w:tcPr>
          <w:p>
            <w:pPr>
              <w:spacing w:after="0" w:line="252"/>
              <w:jc w:val="center"/>
            </w:pPr>
            <w:r>
              <w:rPr>
                <w:b w:val="false"/>
                <w:bCs w:val="false"/>
              </w:rPr>
              <w:t xml:space="preserve">0.550</w:t>
            </w:r>
          </w:p>
        </w:tc>
        <w:tc>
          <w:tcPr>
            <w:tcW w:type="dxa" w:w="1500"/>
            <w:tcMar>
              <w:top w:type="dxa" w:w="40"/>
              <w:left w:type="dxa" w:w="90"/>
              <w:bottom w:type="dxa" w:w="40"/>
              <w:right w:type="dxa" w:w="90"/>
            </w:tcMar>
          </w:tcPr>
          <w:p>
            <w:pPr>
              <w:spacing w:after="0" w:line="252"/>
              <w:jc w:val="center"/>
            </w:pPr>
            <w:r>
              <w:rPr>
                <w:b w:val="false"/>
                <w:bCs w:val="false"/>
              </w:rPr>
              <w:t xml:space="preserve">0.362–0.749</w:t>
            </w:r>
          </w:p>
        </w:tc>
        <w:tc>
          <w:tcPr>
            <w:tcW w:type="dxa" w:w="1150"/>
            <w:tcMar>
              <w:top w:type="dxa" w:w="40"/>
              <w:left w:type="dxa" w:w="90"/>
              <w:bottom w:type="dxa" w:w="40"/>
              <w:right w:type="dxa" w:w="90"/>
            </w:tcMar>
          </w:tcPr>
          <w:p>
            <w:pPr>
              <w:spacing w:after="0" w:line="252"/>
              <w:jc w:val="center"/>
            </w:pPr>
            <w:r>
              <w:rPr>
                <w:b w:val="false"/>
                <w:bCs w:val="false"/>
              </w:rPr>
              <w:t xml:space="preserve">0.886</w:t>
            </w:r>
          </w:p>
        </w:tc>
        <w:tc>
          <w:tcPr>
            <w:tcW w:type="dxa" w:w="1450"/>
            <w:tcMar>
              <w:top w:type="dxa" w:w="40"/>
              <w:left w:type="dxa" w:w="90"/>
              <w:bottom w:type="dxa" w:w="40"/>
              <w:right w:type="dxa" w:w="90"/>
            </w:tcMar>
          </w:tcPr>
          <w:p>
            <w:pPr>
              <w:spacing w:after="0" w:line="252"/>
              <w:jc w:val="center"/>
            </w:pPr>
            <w:r>
              <w:rPr>
                <w:b w:val="false"/>
                <w:bCs w:val="false"/>
              </w:rPr>
              <w:t xml:space="preserve">0.675</w:t>
            </w:r>
          </w:p>
        </w:tc>
        <w:tc>
          <w:tcPr>
            <w:tcW w:type="dxa" w:w="760"/>
            <w:tcMar>
              <w:top w:type="dxa" w:w="40"/>
              <w:left w:type="dxa" w:w="90"/>
              <w:bottom w:type="dxa" w:w="40"/>
              <w:right w:type="dxa" w:w="90"/>
            </w:tcMar>
          </w:tcPr>
          <w:p>
            <w:pPr>
              <w:spacing w:after="0" w:line="252"/>
              <w:jc w:val="center"/>
            </w:pPr>
            <w:r>
              <w:rPr>
                <w:b w:val="false"/>
                <w:bCs w:val="false"/>
              </w:rPr>
              <w:t xml:space="preserve">0.677</w:t>
            </w:r>
          </w:p>
        </w:tc>
        <w:tc>
          <w:tcPr>
            <w:tcW w:type="dxa" w:w="740"/>
            <w:tcMar>
              <w:top w:type="dxa" w:w="40"/>
              <w:left w:type="dxa" w:w="90"/>
              <w:bottom w:type="dxa" w:w="40"/>
              <w:right w:type="dxa" w:w="90"/>
            </w:tcMar>
          </w:tcPr>
          <w:p>
            <w:pPr>
              <w:spacing w:after="0" w:line="252"/>
              <w:jc w:val="center"/>
            </w:pPr>
            <w:r>
              <w:rPr>
                <w:b w:val="false"/>
                <w:bCs w:val="false"/>
              </w:rPr>
              <w:t xml:space="preserve">0.424</w:t>
            </w:r>
          </w:p>
        </w:tc>
      </w:tr>
    </w:tbl>
    <w:p>
      <w:pPr>
        <w:spacing w:after="4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555555"/>
          <w:sz w:val="18"/>
          <w:szCs w:val="18"/>
        </w:rPr>
        <w:t xml:space="preserve">Figura 2 — Distribuzione del Kappa tra i 16 dataset (10×10 CV): RF è il più alto e stabile, NB il più disperso.</w:t>
      </w:r>
    </w:p>
    <w:p>
      <w:pPr>
        <w:spacing w:after="140" w:line="276"/>
      </w:pPr>
      <w:r>
        <w:t xml:space="preserve">Le varianti </w:t>
      </w:r>
      <w:r>
        <w:rPr>
          <w:b/>
          <w:bCs/>
        </w:rPr>
        <w:t xml:space="preserve">pct20</w:t>
      </w:r>
      <w:r>
        <w:t xml:space="preserve"> risultano leggermente più facili delle </w:t>
      </w:r>
      <w:r>
        <w:rPr>
          <w:b/>
          <w:bCs/>
        </w:rPr>
        <w:t xml:space="preserve">pct34</w:t>
      </w:r>
      <w:r>
        <w:t xml:space="preserve"> (Kappa RF 0.914 vs 0.871): un training set più ampio include release più eterogenee e periodi più rumorosi. L'effetto delle feature GitHub (gh) e del churn è di secondo ordine rispetto alla percentuale di release. Questi numeri, ottenuti in cross-validation, condividono l'ottimismo discusso di seguito.</w:t>
      </w:r>
    </w:p>
    <w:p>
      <w:pPr>
        <w:pStyle w:val="Heading1"/>
        <w:spacing w:after="130" w:before="260"/>
      </w:pPr>
      <w:r>
        <w:t xml:space="preserve">5. Discussione</w:t>
      </w:r>
    </w:p>
    <w:p>
      <w:pPr>
        <w:spacing w:after="140" w:line="276"/>
      </w:pPr>
      <w:r>
        <w:t xml:space="preserve">Il risultato più rilevante è il </w:t>
      </w:r>
      <w:r>
        <w:rPr>
          <w:b/>
          <w:bCs/>
        </w:rPr>
        <w:t xml:space="preserve">divario tra cross-validation e walk-forward</w:t>
      </w:r>
      <w:r>
        <w:t xml:space="preserve">: per Random Forest il Kappa scende da 0.88 a 0.67 e, soprattutto, l'NPofB20 crolla da ~0.89 a ~0.57. Questo è pienamente coerente con la letteratura: la cross-validation è ottimistica e irrealistica su dataset ordinati temporalmente, perché il rimescolamento dei fold consente al modello di usare informazioni del futuro per predire il passato. L'effetto è amplificato da feature con forte legame temporale come prevBuggy e prevNSmells.</w:t>
      </w:r>
    </w:p>
    <w:p>
      <w:pPr>
        <w:spacing w:after="140" w:line="276"/>
      </w:pPr>
      <w:r>
        <w:t xml:space="preserve">Ne deriva una lettura precisa del Kappa in cross-validation: un valore di 0.88 non va interpretato come ottimo modello ma come </w:t>
      </w:r>
      <w:r>
        <w:rPr>
          <w:b/>
          <w:bCs/>
        </w:rPr>
        <w:t xml:space="preserve">red flag di data leakage temporale</w:t>
      </w:r>
      <w:r>
        <w:t xml:space="preserve">. In contesti reali di ingegneria del software i valori di Kappa attesi si collocano tipicamente tra 0.1 e 0.4; il nostro 0.88 è la prova sperimentale della necessità di preservare l'ordine dei dati. La walk-forward, con Kappa ~0.67, resta comunque un risultato solido e onesto.</w:t>
      </w:r>
    </w:p>
    <w:p>
      <w:pPr>
        <w:spacing w:after="140" w:line="276"/>
      </w:pPr>
      <w:r>
        <w:t xml:space="preserve">Una discrepanza tra metriche riguarda l'oversampling in walk-forward: massimizza il Kappa ma non l'NPofB20, leggermente più alto nella configurazione senza balancing. Ciò conferma che le due metriche misurano cose diverse — accordo di classificazione binaria (Kappa) contro capacità di ranking per densità di bug (NPofB20). Infine, il fatto che la feature selection peggiori le performance indica che il dataset di M1 è già informativo e che per RF/IBk non vale la pena ridurne la dimensionalità.</w:t>
      </w:r>
    </w:p>
    <w:p>
      <w:pPr>
        <w:pStyle w:val="Heading1"/>
        <w:spacing w:after="130" w:before="260"/>
      </w:pPr>
      <w:r>
        <w:t xml:space="preserve">6. Threats to Validity</w:t>
      </w:r>
    </w:p>
    <w:p>
      <w:pPr>
        <w:spacing w:after="140" w:line="276"/>
      </w:pPr>
      <w:r>
        <w:rPr>
          <w:b/>
          <w:bCs/>
        </w:rPr>
        <w:t xml:space="preserve">Leakage temporale residuo.</w:t>
      </w:r>
      <w:r>
        <w:t xml:space="preserve"> Mitigato dall'isolamento per-fold della pipeline (FilteredClassifier) e dalla walk-forward cumulativa con test sempre su release futura; resta il rischio teorico legato a feature con memoria temporale.</w:t>
      </w:r>
    </w:p>
    <w:p>
      <w:pPr>
        <w:spacing w:after="140" w:line="276"/>
      </w:pPr>
      <w:r>
        <w:rPr>
          <w:b/>
          <w:bCs/>
        </w:rPr>
        <w:t xml:space="preserve">Scelta del seed.</w:t>
      </w:r>
      <w:r>
        <w:t xml:space="preserve"> Con seed unico (42) l'impatto della casualità su Random Forest e SMOTE non è quantificato: manca un'analisi di varianza su più seed.</w:t>
      </w:r>
    </w:p>
    <w:p>
      <w:pPr>
        <w:spacing w:after="140" w:line="276"/>
      </w:pPr>
      <w:r>
        <w:rPr>
          <w:b/>
          <w:bCs/>
        </w:rPr>
        <w:t xml:space="preserve">Assenza di tuning.</w:t>
      </w:r>
      <w:r>
        <w:t xml:space="preserve"> Si sono usati i parametri di default di Weka anziché ottimizzare gli iperparametri, il che può sottostimare il potenziale dei modelli.</w:t>
      </w:r>
    </w:p>
    <w:p>
      <w:pPr>
        <w:spacing w:after="140" w:line="276"/>
      </w:pPr>
      <w:r>
        <w:rPr>
          <w:b/>
          <w:bCs/>
        </w:rPr>
        <w:t xml:space="preserve">Effort-aware limitato.</w:t>
      </w:r>
      <w:r>
        <w:t xml:space="preserve"> L'analisi si ferma alla soglia del 20% (NPofB20) invece di considerare l'intera curva PofB.</w:t>
      </w:r>
    </w:p>
    <w:p>
      <w:pPr>
        <w:spacing w:after="140" w:line="276"/>
      </w:pPr>
      <w:r>
        <w:rPr>
          <w:b/>
          <w:bCs/>
        </w:rPr>
        <w:t xml:space="preserve">Minacce ereditate da M1.</w:t>
      </w:r>
      <w:r>
        <w:t xml:space="preserve"> Snoring residuo nell'etichettatura, uso della tecnica Proportion per l'Injected Version, linkage rate ticket↔commit non unitario (0.90) e copertura NSmells su 13 release su 14.</w:t>
      </w:r>
    </w:p>
    <w:p>
      <w:pPr>
        <w:pStyle w:val="Heading1"/>
        <w:spacing w:after="130" w:before="260"/>
      </w:pPr>
      <w:r>
        <w:t xml:space="preserve">7. Conclusioni</w:t>
      </w:r>
    </w:p>
    <w:p>
      <w:pPr>
        <w:spacing w:after="140" w:line="276"/>
      </w:pPr>
      <w:r>
        <w:t xml:space="preserve">Random Forest è il classificatore più efficace e stabile sul dataset AVRO. La configurazione raccomandata è </w:t>
      </w:r>
      <w:r>
        <w:rPr>
          <w:b/>
          <w:bCs/>
        </w:rPr>
        <w:t xml:space="preserve">Random Forest senza feature selection con oversampling</w:t>
      </w:r>
      <w:r>
        <w:t xml:space="preserve">, valutata in walk-forward (Kappa 0.673, NPofB20 0.574): ispezionando il 20% del codice si individua circa il 57% dei bug. La feature selection CFS non è utile per RF/IBk e il bilanciamento porta benefici modesti. Il contributo metodologico principale è la dimostrazione, sui dati, dell'ottimismo della cross-validation rispetto alla validazione walk-forward, che resta l'unica misura realistica per la bug prediction.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08b6b15a5e72434f7d89089a612a16c17bce411.png"/><Relationship Id="rId9" Type="http://schemas.openxmlformats.org/officeDocument/2006/relationships/image" Target="media/4b74c1bfd04623bc3ace7c5b1ac73ac3d7c264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2 — Classificazione Bug Prediction AVRO</dc:title>
  <dc:creator>Matteo Lagioia</dc:creator>
  <cp:lastModifiedBy>Un-named</cp:lastModifiedBy>
  <cp:revision>1</cp:revision>
  <dcterms:created xsi:type="dcterms:W3CDTF">2026-08-13T08:03:44.557Z</dcterms:created>
  <dcterms:modified xsi:type="dcterms:W3CDTF">2026-08-13T08:03:44.558Z</dcterms:modified>
</cp:coreProperties>
</file>

<file path=docProps/custom.xml><?xml version="1.0" encoding="utf-8"?>
<Properties xmlns="http://schemas.openxmlformats.org/officeDocument/2006/custom-properties" xmlns:vt="http://schemas.openxmlformats.org/officeDocument/2006/docPropsVTypes"/>
</file>