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header1.xml" ContentType="application/vnd.openxmlformats-officedocument.wordprocessingml.header+xml"/>
  <Override PartName="/word/comments.xml" ContentType="application/vnd.openxmlformats-officedocument.wordprocessingml.comments+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2E7D32"/>
          <w:sz w:val="44"/>
          <w:szCs w:val="44"/>
        </w:rPr>
        <w:t xml:space="preserve">GUIDE UTILISATEUR</w:t>
      </w:r>
    </w:p>
    <w:p>
      <w:pPr>
        <w:spacing w:after="200"/>
        <w:jc w:val="center"/>
      </w:pPr>
      <w:r>
        <w:rPr>
          <w:rFonts w:ascii="Arial" w:cs="Arial" w:eastAsia="Arial" w:hAnsi="Arial"/>
          <w:color w:val="388E3C"/>
          <w:sz w:val="32"/>
          <w:szCs w:val="32"/>
        </w:rPr>
        <w:t xml:space="preserve">Gestion des Acteurs</w:t>
      </w:r>
    </w:p>
    <w:p>
      <w:pPr>
        <w:spacing w:after="200"/>
        <w:jc w:val="center"/>
      </w:pPr>
      <w:r>
        <w:rPr>
          <w:rFonts w:ascii="Arial" w:cs="Arial" w:eastAsia="Arial" w:hAnsi="Arial"/>
          <w:color w:val="666666"/>
          <w:sz w:val="24"/>
          <w:szCs w:val="24"/>
        </w:rPr>
        <w:t xml:space="preserve">Programme MCA-Bénin Régional – SIP/MOSES</w:t>
      </w:r>
    </w:p>
    <w:p>
      <w:pPr>
        <w:spacing w:before="400"/>
        <w:jc w:val="center"/>
      </w:pPr>
      <w:r>
        <w:rPr>
          <w:rFonts w:ascii="Arial" w:cs="Arial" w:eastAsia="Arial" w:hAnsi="Arial"/>
          <w:color w:val="666666"/>
          <w:sz w:val="22"/>
          <w:szCs w:val="22"/>
        </w:rPr>
        <w:t xml:space="preserve">Version 1.0 – Février 2026</w:t>
      </w:r>
    </w:p>
    <w:p>
      <w:r>
        <w:br w:type="page"/>
      </w:r>
    </w:p>
    <w:p>
      <w:pPr>
        <w:pStyle w:val="Heading1"/>
      </w:pPr>
      <w:r>
        <w:rPr>
          <w:rFonts w:ascii="Arial" w:cs="Arial" w:eastAsia="Arial" w:hAnsi="Arial"/>
          <w:b/>
          <w:bCs/>
          <w:sz w:val="32"/>
          <w:szCs w:val="32"/>
        </w:rPr>
        <w:t xml:space="preserve">1. Introduction</w:t>
      </w:r>
    </w:p>
    <w:p>
      <w:pPr>
        <w:spacing w:after="120"/>
      </w:pPr>
      <w:r>
        <w:rPr>
          <w:rFonts w:ascii="Arial" w:cs="Arial" w:eastAsia="Arial" w:hAnsi="Arial"/>
          <w:sz w:val="22"/>
          <w:szCs w:val="22"/>
        </w:rPr>
        <w:t xml:space="preserve">Ce guide décrit les procédures d’utilisation du module ACT (Gestion des Acteurs) du Système d’Information du Programme (SIP). Il est destiné aux utilisateurs finaux disposant d’un accès Microsoft 365 au SIP/MOSES.</w:t>
      </w:r>
    </w:p>
    <w:p>
      <w:pPr>
        <w:spacing w:after="120"/>
      </w:pPr>
      <w:r>
        <w:rPr>
          <w:rFonts w:ascii="Arial" w:cs="Arial" w:eastAsia="Arial" w:hAnsi="Arial"/>
          <w:sz w:val="22"/>
          <w:szCs w:val="22"/>
        </w:rPr>
        <w:t xml:space="preserve">Prérequis : un compte Microsoft 365 actif avec les droits d’accès au module, un navigateur web récent (Edge, Chrome, Firefox).</w:t>
      </w:r>
    </w:p>
    <w:p>
      <w:pPr>
        <w:pStyle w:val="Heading1"/>
      </w:pPr>
      <w:r>
        <w:rPr>
          <w:rFonts w:ascii="Arial" w:cs="Arial" w:eastAsia="Arial" w:hAnsi="Arial"/>
          <w:b/>
          <w:bCs/>
          <w:sz w:val="32"/>
          <w:szCs w:val="32"/>
        </w:rPr>
        <w:t xml:space="preserve">2. Accès au module</w:t>
      </w:r>
    </w:p>
    <w:p>
      <w:pPr>
        <w:spacing w:after="120"/>
      </w:pPr>
      <w:r>
        <w:rPr>
          <w:rFonts w:ascii="Arial" w:cs="Arial" w:eastAsia="Arial" w:hAnsi="Arial"/>
          <w:sz w:val="22"/>
          <w:szCs w:val="22"/>
        </w:rPr>
        <w:t xml:space="preserve">Pour accéder au module, connectez-vous au portail SIP via votre compte Microsoft 365. Depuis le tableau de bord principal, cliquez sur la tuile correspondant au module. Vous pouvez également accéder directement au module via l’URL fournie par l’administrateur.</w:t>
      </w:r>
    </w:p>
    <w:p>
      <w:pPr>
        <w:pStyle w:val="Heading1"/>
      </w:pPr>
      <w:r>
        <w:rPr>
          <w:rFonts w:ascii="Arial" w:cs="Arial" w:eastAsia="Arial" w:hAnsi="Arial"/>
          <w:b/>
          <w:bCs/>
          <w:sz w:val="32"/>
          <w:szCs w:val="32"/>
        </w:rPr>
        <w:t xml:space="preserve">3. Tableau de bord</w:t>
      </w:r>
    </w:p>
    <w:p>
      <w:pPr>
        <w:spacing w:after="120"/>
      </w:pPr>
      <w:r>
        <w:rPr>
          <w:rFonts w:ascii="Arial" w:cs="Arial" w:eastAsia="Arial" w:hAnsi="Arial"/>
          <w:sz w:val="22"/>
          <w:szCs w:val="22"/>
        </w:rPr>
        <w:t xml:space="preserve">L’écran d’accueil du module ACT affiche un tableau de bord synthétique avec les indicateurs principaux, les derniers éléments enregistrés, et des filtres de recherche rapide. Les données sont actualisées en temps réel.</w:t>
      </w:r>
    </w:p>
    <w:p>
      <w:pPr>
        <w:pStyle w:val="Heading1"/>
      </w:pPr>
      <w:r>
        <w:rPr>
          <w:rFonts w:ascii="Arial" w:cs="Arial" w:eastAsia="Arial" w:hAnsi="Arial"/>
          <w:b/>
          <w:bCs/>
          <w:sz w:val="32"/>
          <w:szCs w:val="32"/>
        </w:rPr>
        <w:t xml:space="preserve">4. Fonctionnalités principales</w:t>
      </w:r>
    </w:p>
    <w:p>
      <w:pPr>
        <w:pStyle w:val="Heading2"/>
      </w:pPr>
      <w:r>
        <w:rPr>
          <w:rFonts w:ascii="Arial" w:cs="Arial" w:eastAsia="Arial" w:hAnsi="Arial"/>
          <w:b/>
          <w:bCs/>
          <w:sz w:val="26"/>
          <w:szCs w:val="26"/>
        </w:rPr>
        <w:t xml:space="preserve">4.1 Enregistrement de nouveaux acteurs</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pPr>
        <w:pStyle w:val="Heading2"/>
      </w:pPr>
      <w:r>
        <w:rPr>
          <w:rFonts w:ascii="Arial" w:cs="Arial" w:eastAsia="Arial" w:hAnsi="Arial"/>
          <w:b/>
          <w:bCs/>
          <w:sz w:val="26"/>
          <w:szCs w:val="26"/>
        </w:rPr>
        <w:t xml:space="preserve">4.2 Recherche par nom, organisation ou rôle</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pPr>
        <w:pStyle w:val="Heading2"/>
      </w:pPr>
      <w:r>
        <w:rPr>
          <w:rFonts w:ascii="Arial" w:cs="Arial" w:eastAsia="Arial" w:hAnsi="Arial"/>
          <w:b/>
          <w:bCs/>
          <w:sz w:val="26"/>
          <w:szCs w:val="26"/>
        </w:rPr>
        <w:t xml:space="preserve">4.3 Consultation de la fiche détaillée</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pPr>
        <w:pStyle w:val="Heading2"/>
      </w:pPr>
      <w:r>
        <w:rPr>
          <w:rFonts w:ascii="Arial" w:cs="Arial" w:eastAsia="Arial" w:hAnsi="Arial"/>
          <w:b/>
          <w:bCs/>
          <w:sz w:val="26"/>
          <w:szCs w:val="26"/>
        </w:rPr>
        <w:t xml:space="preserve">4.4 Modification des informations</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pPr>
        <w:pStyle w:val="Heading2"/>
      </w:pPr>
      <w:r>
        <w:rPr>
          <w:rFonts w:ascii="Arial" w:cs="Arial" w:eastAsia="Arial" w:hAnsi="Arial"/>
          <w:b/>
          <w:bCs/>
          <w:sz w:val="26"/>
          <w:szCs w:val="26"/>
        </w:rPr>
        <w:t xml:space="preserve">4.5 Catégorisation par type</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pPr>
        <w:pStyle w:val="Heading2"/>
      </w:pPr>
      <w:r>
        <w:rPr>
          <w:rFonts w:ascii="Arial" w:cs="Arial" w:eastAsia="Arial" w:hAnsi="Arial"/>
          <w:b/>
          <w:bCs/>
          <w:sz w:val="26"/>
          <w:szCs w:val="26"/>
        </w:rPr>
        <w:t xml:space="preserve">4.6 Export de la liste des acteurs</w:t>
      </w:r>
    </w:p>
    <w:p>
      <w:pPr>
        <w:pStyle w:val="ListParagraph"/>
        <w:numPr>
          <w:ilvl w:val="0"/>
          <w:numId w:val="2"/>
        </w:numPr>
      </w:pPr>
      <w:r>
        <w:rPr>
          <w:rFonts w:ascii="Arial" w:cs="Arial" w:eastAsia="Arial" w:hAnsi="Arial"/>
          <w:sz w:val="22"/>
          <w:szCs w:val="22"/>
        </w:rPr>
        <w:t xml:space="preserve">Depuis le tableau de bord, cliquez sur le bouton d’action correspondant</w:t>
      </w:r>
    </w:p>
    <w:p>
      <w:pPr>
        <w:pStyle w:val="ListParagraph"/>
        <w:numPr>
          <w:ilvl w:val="0"/>
          <w:numId w:val="2"/>
        </w:numPr>
      </w:pPr>
      <w:r>
        <w:rPr>
          <w:rFonts w:ascii="Arial" w:cs="Arial" w:eastAsia="Arial" w:hAnsi="Arial"/>
          <w:sz w:val="22"/>
          <w:szCs w:val="22"/>
        </w:rPr>
        <w:t xml:space="preserve">Remplissez les champs obligatoires du formulaire</w:t>
      </w:r>
    </w:p>
    <w:p>
      <w:pPr>
        <w:pStyle w:val="ListParagraph"/>
        <w:numPr>
          <w:ilvl w:val="0"/>
          <w:numId w:val="2"/>
        </w:numPr>
        <w:spacing w:after="200"/>
      </w:pPr>
      <w:r>
        <w:rPr>
          <w:rFonts w:ascii="Arial" w:cs="Arial" w:eastAsia="Arial" w:hAnsi="Arial"/>
          <w:sz w:val="22"/>
          <w:szCs w:val="22"/>
        </w:rPr>
        <w:t xml:space="preserve">Cliquez sur Enregistrer pour valider l’opération</w:t>
      </w:r>
    </w:p>
    <w:p>
      <w:r>
        <w:br w:type="page"/>
      </w:r>
    </w:p>
    <w:p>
      <w:pPr>
        <w:pStyle w:val="Heading1"/>
      </w:pPr>
      <w:r>
        <w:rPr>
          <w:rFonts w:ascii="Arial" w:cs="Arial" w:eastAsia="Arial" w:hAnsi="Arial"/>
          <w:b/>
          <w:bCs/>
          <w:sz w:val="32"/>
          <w:szCs w:val="32"/>
        </w:rPr>
        <w:t xml:space="preserve">5. Rôles et droits d’accès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999999" w:sz="1"/>
              <w:left w:val="single" w:color="999999" w:sz="1"/>
              <w:bottom w:val="single" w:color="999999" w:sz="1"/>
              <w:right w:val="single" w:color="999999" w:sz="1"/>
            </w:tcBorders>
            <w:shd w:fill="2E7D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Rôle</w:t>
            </w:r>
          </w:p>
        </w:tc>
        <w:tc>
          <w:tcPr>
            <w:tcW w:type="dxa" w:w="6526"/>
            <w:tcBorders>
              <w:top w:val="single" w:color="999999" w:sz="1"/>
              <w:left w:val="single" w:color="999999" w:sz="1"/>
              <w:bottom w:val="single" w:color="999999" w:sz="1"/>
              <w:right w:val="single" w:color="999999" w:sz="1"/>
            </w:tcBorders>
            <w:shd w:fill="2E7D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Permissions</w:t>
            </w:r>
          </w:p>
        </w:tc>
      </w:tr>
      <w:tr>
        <w:tc>
          <w:tcPr>
            <w:tcW w:type="dxa" w:w="25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bCs/>
                <w:sz w:val="20"/>
                <w:szCs w:val="20"/>
              </w:rPr>
              <w:t xml:space="preserve">Contributeur</w:t>
            </w:r>
          </w:p>
        </w:tc>
        <w:tc>
          <w:tcPr>
            <w:tcW w:type="dxa" w:w="6526"/>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Création, modification, consultation des données du module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Lecteur</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Consultation seule des données du module</w:t>
            </w:r>
          </w:p>
        </w:tc>
      </w:tr>
      <w:tr>
        <w:tc>
          <w:tcPr>
            <w:tcW w:type="dxa" w:w="25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b/>
                <w:bCs/>
                <w:sz w:val="20"/>
                <w:szCs w:val="20"/>
              </w:rPr>
              <w:t xml:space="preserve">Administrateur</w:t>
            </w:r>
          </w:p>
        </w:tc>
        <w:tc>
          <w:tcPr>
            <w:tcW w:type="dxa" w:w="6526"/>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Toutes les permissions + configuration du module</w:t>
            </w:r>
          </w:p>
        </w:tc>
      </w:tr>
    </w:tbl>
    <w:p>
      <w:pPr>
        <w:pStyle w:val="Heading1"/>
      </w:pPr>
      <w:r>
        <w:rPr>
          <w:rFonts w:ascii="Arial" w:cs="Arial" w:eastAsia="Arial" w:hAnsi="Arial"/>
          <w:b/>
          <w:bCs/>
          <w:sz w:val="32"/>
          <w:szCs w:val="32"/>
        </w:rPr>
        <w:t xml:space="preserve">6. Bonnes pratiques</w:t>
      </w:r>
    </w:p>
    <w:p>
      <w:pPr>
        <w:pStyle w:val="ListParagraph"/>
        <w:numPr>
          <w:ilvl w:val="0"/>
          <w:numId w:val="3"/>
        </w:numPr>
      </w:pPr>
      <w:r>
        <w:rPr>
          <w:rFonts w:ascii="Arial" w:cs="Arial" w:eastAsia="Arial" w:hAnsi="Arial"/>
          <w:sz w:val="22"/>
          <w:szCs w:val="22"/>
        </w:rPr>
        <w:t xml:space="preserve">Renseigner tous les champs obligatoires pour garantir la qualité des données</w:t>
      </w:r>
    </w:p>
    <w:p>
      <w:pPr>
        <w:pStyle w:val="ListParagraph"/>
        <w:numPr>
          <w:ilvl w:val="0"/>
          <w:numId w:val="3"/>
        </w:numPr>
      </w:pPr>
      <w:r>
        <w:rPr>
          <w:rFonts w:ascii="Arial" w:cs="Arial" w:eastAsia="Arial" w:hAnsi="Arial"/>
          <w:sz w:val="22"/>
          <w:szCs w:val="22"/>
        </w:rPr>
        <w:t xml:space="preserve">Mettre à jour régulièrement le statut des éléments en cours</w:t>
      </w:r>
    </w:p>
    <w:p>
      <w:pPr>
        <w:pStyle w:val="ListParagraph"/>
        <w:numPr>
          <w:ilvl w:val="0"/>
          <w:numId w:val="3"/>
        </w:numPr>
      </w:pPr>
      <w:r>
        <w:rPr>
          <w:rFonts w:ascii="Arial" w:cs="Arial" w:eastAsia="Arial" w:hAnsi="Arial"/>
          <w:sz w:val="22"/>
          <w:szCs w:val="22"/>
        </w:rPr>
        <w:t xml:space="preserve">Utiliser les filtres de recherche pour retrouver rapidement les informations</w:t>
      </w:r>
    </w:p>
    <w:p>
      <w:pPr>
        <w:pStyle w:val="ListParagraph"/>
        <w:numPr>
          <w:ilvl w:val="0"/>
          <w:numId w:val="3"/>
        </w:numPr>
      </w:pPr>
      <w:r>
        <w:rPr>
          <w:rFonts w:ascii="Arial" w:cs="Arial" w:eastAsia="Arial" w:hAnsi="Arial"/>
          <w:sz w:val="22"/>
          <w:szCs w:val="22"/>
        </w:rPr>
        <w:t xml:space="preserve">Vérifier la cohérence des données avant validation</w:t>
      </w:r>
    </w:p>
    <w:p>
      <w:pPr>
        <w:pStyle w:val="ListParagraph"/>
        <w:numPr>
          <w:ilvl w:val="0"/>
          <w:numId w:val="3"/>
        </w:numPr>
      </w:pPr>
      <w:r>
        <w:rPr>
          <w:rFonts w:ascii="Arial" w:cs="Arial" w:eastAsia="Arial" w:hAnsi="Arial"/>
          <w:sz w:val="22"/>
          <w:szCs w:val="22"/>
        </w:rPr>
        <w:t xml:space="preserve">Exporter régulièrement les rapports pour le suivi</w:t>
      </w:r>
    </w:p>
    <w:p>
      <w:pPr>
        <w:pStyle w:val="ListParagraph"/>
        <w:numPr>
          <w:ilvl w:val="0"/>
          <w:numId w:val="3"/>
        </w:numPr>
      </w:pPr>
      <w:r>
        <w:rPr>
          <w:rFonts w:ascii="Arial" w:cs="Arial" w:eastAsia="Arial" w:hAnsi="Arial"/>
          <w:sz w:val="22"/>
          <w:szCs w:val="22"/>
        </w:rPr>
        <w:t xml:space="preserve">Signaler tout dysfonctionnement à l’équipe support</w:t>
      </w:r>
    </w:p>
    <w:p>
      <w:pPr>
        <w:pStyle w:val="Heading1"/>
      </w:pPr>
      <w:r>
        <w:rPr>
          <w:rFonts w:ascii="Arial" w:cs="Arial" w:eastAsia="Arial" w:hAnsi="Arial"/>
          <w:b/>
          <w:bCs/>
          <w:sz w:val="32"/>
          <w:szCs w:val="32"/>
        </w:rPr>
        <w:t xml:space="preserve">7. Résolution des problèmes courants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1"/>
              <w:left w:val="single" w:color="999999" w:sz="1"/>
              <w:bottom w:val="single" w:color="999999" w:sz="1"/>
              <w:right w:val="single" w:color="999999" w:sz="1"/>
            </w:tcBorders>
            <w:shd w:fill="2E7D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Problème</w:t>
            </w:r>
          </w:p>
        </w:tc>
        <w:tc>
          <w:tcPr>
            <w:tcW w:type="dxa" w:w="4513"/>
            <w:tcBorders>
              <w:top w:val="single" w:color="999999" w:sz="1"/>
              <w:left w:val="single" w:color="999999" w:sz="1"/>
              <w:bottom w:val="single" w:color="999999" w:sz="1"/>
              <w:right w:val="single" w:color="999999" w:sz="1"/>
            </w:tcBorders>
            <w:shd w:fill="2E7D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Solution</w:t>
            </w:r>
          </w:p>
        </w:tc>
      </w:tr>
      <w:tr>
        <w:tc>
          <w:tcPr>
            <w:tcW w:type="dxa" w:w="4513"/>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Impossible d’accéder au module</w:t>
            </w:r>
          </w:p>
        </w:tc>
        <w:tc>
          <w:tcPr>
            <w:tcW w:type="dxa" w:w="4513"/>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Vérifier vos droits d’accès auprès de l’administrateur</w:t>
            </w:r>
          </w:p>
        </w:tc>
      </w:tr>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Les données ne s’affichent pas</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Rafraîchir la page ou vider le cache du navigateur</w:t>
            </w:r>
          </w:p>
        </w:tc>
      </w:tr>
      <w:tr>
        <w:tc>
          <w:tcPr>
            <w:tcW w:type="dxa" w:w="4513"/>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Erreur lors de l’enregistrement</w:t>
            </w:r>
          </w:p>
        </w:tc>
        <w:tc>
          <w:tcPr>
            <w:tcW w:type="dxa" w:w="4513"/>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left"/>
            </w:pPr>
            <w:r>
              <w:rPr>
                <w:rFonts w:ascii="Arial" w:cs="Arial" w:eastAsia="Arial" w:hAnsi="Arial"/>
                <w:sz w:val="20"/>
                <w:szCs w:val="20"/>
              </w:rPr>
              <w:t xml:space="preserve">Vérifier que tous les champs obligatoires sont remplis</w:t>
            </w:r>
          </w:p>
        </w:tc>
      </w:tr>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Le rapport ne se génère pas</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Vérifier la connexion internet et réessayer</w:t>
            </w:r>
          </w:p>
        </w:tc>
      </w:tr>
    </w:tbl>
    <w:p>
      <w:pPr>
        <w:pStyle w:val="Heading1"/>
      </w:pPr>
      <w:r>
        <w:rPr>
          <w:rFonts w:ascii="Arial" w:cs="Arial" w:eastAsia="Arial" w:hAnsi="Arial"/>
          <w:b/>
          <w:bCs/>
          <w:sz w:val="32"/>
          <w:szCs w:val="32"/>
        </w:rPr>
        <w:t xml:space="preserve">8. Support et assistance</w:t>
      </w:r>
    </w:p>
    <w:p>
      <w:pPr>
        <w:spacing w:after="120"/>
      </w:pPr>
      <w:r>
        <w:rPr>
          <w:rFonts w:ascii="Arial" w:cs="Arial" w:eastAsia="Arial" w:hAnsi="Arial"/>
          <w:sz w:val="22"/>
          <w:szCs w:val="22"/>
        </w:rPr>
        <w:t xml:space="preserve">Pour toute question ou difficulté, contactez l’équipe technique du SIP via le canal de support dédié. Fournissez une description détaillée du problème, accompagnée de captures d’écran si possible.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Gestion des Acteurs – Guide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D3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ée un document." ma:contentTypeScope="" ma:versionID="ddbf83aaac80009316ed1af03fbfa581">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d409dd2ddc05c50d10d240c22431caab"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4337CA-ABAD-4531-BF65-BBAA88BC4915}"/>
</file>

<file path=customXml/itemProps2.xml><?xml version="1.0" encoding="utf-8"?>
<ds:datastoreItem xmlns:ds="http://schemas.openxmlformats.org/officeDocument/2006/customXml" ds:itemID="{7494E99E-33D6-485E-B977-7B17EAA0CEAF}"/>
</file>

<file path=customXml/itemProps3.xml><?xml version="1.0" encoding="utf-8"?>
<ds:datastoreItem xmlns:ds="http://schemas.openxmlformats.org/officeDocument/2006/customXml" ds:itemID="{D752BC21-AC77-45B7-A3B9-3BF31D51BE3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2026-02-08T08:50:44Z</dcterms:created>
  <dcterms:modified xsi:type="dcterms:W3CDTF">2026-02-08T08:50:44Z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0x010100973C13D87EE4424A828A7B59EC48785C</vt:lpwstr>
  </property>
</Properties>
</file>