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90FAE" w:rsidR="00590FAE" w:rsidP="006411C6" w:rsidRDefault="00590FAE" w14:paraId="1E3862EE" w14:textId="77777777">
      <w:pPr>
        <w:spacing w:line="360" w:lineRule="auto"/>
        <w:jc w:val="center"/>
        <w:rPr>
          <w:rFonts w:asciiTheme="majorBidi" w:hAnsiTheme="majorBidi" w:cstheme="majorBidi"/>
          <w:b/>
          <w:bCs/>
          <w:sz w:val="24"/>
          <w:szCs w:val="24"/>
        </w:rPr>
      </w:pPr>
      <w:r w:rsidRPr="00590FAE">
        <w:rPr>
          <w:rFonts w:asciiTheme="majorBidi" w:hAnsiTheme="majorBidi" w:cstheme="majorBidi"/>
          <w:b/>
          <w:bCs/>
          <w:sz w:val="24"/>
          <w:szCs w:val="24"/>
        </w:rPr>
        <w:t>NOTE TECHNIQUE : Module informatique de Gestion Des Risques (GDR)</w:t>
      </w:r>
    </w:p>
    <w:p w:rsidR="00590FAE" w:rsidP="00D511B6" w:rsidRDefault="00D511B6" w14:paraId="1B47687A" w14:textId="479B0228">
      <w:pPr>
        <w:spacing w:line="360" w:lineRule="auto"/>
        <w:jc w:val="right"/>
        <w:rPr>
          <w:rFonts w:asciiTheme="majorBidi" w:hAnsiTheme="majorBidi" w:cstheme="majorBidi"/>
          <w:sz w:val="24"/>
          <w:szCs w:val="24"/>
        </w:rPr>
      </w:pPr>
      <w:r>
        <w:rPr>
          <w:rFonts w:asciiTheme="majorBidi" w:hAnsiTheme="majorBidi" w:cstheme="majorBidi"/>
          <w:sz w:val="24"/>
          <w:szCs w:val="24"/>
        </w:rPr>
        <w:t>Elaboré par : Nedhir Ben Rajeb</w:t>
      </w:r>
    </w:p>
    <w:p w:rsidRPr="0067484E" w:rsidR="00D511B6" w:rsidP="00D511B6" w:rsidRDefault="00D511B6" w14:paraId="644ED6E3" w14:textId="2681C9FA">
      <w:pPr>
        <w:spacing w:line="360" w:lineRule="auto"/>
        <w:jc w:val="right"/>
        <w:rPr>
          <w:rFonts w:asciiTheme="majorBidi" w:hAnsiTheme="majorBidi" w:cstheme="majorBidi"/>
          <w:sz w:val="24"/>
          <w:szCs w:val="24"/>
        </w:rPr>
      </w:pPr>
      <w:r>
        <w:rPr>
          <w:rFonts w:asciiTheme="majorBidi" w:hAnsiTheme="majorBidi" w:cstheme="majorBidi"/>
          <w:sz w:val="24"/>
          <w:szCs w:val="24"/>
        </w:rPr>
        <w:t>Date : 11/02/2026</w:t>
      </w:r>
    </w:p>
    <w:p w:rsidRPr="0067484E" w:rsidR="00590FAE" w:rsidP="006411C6" w:rsidRDefault="00590FAE" w14:paraId="14F1E231" w14:textId="559F6085">
      <w:pPr>
        <w:spacing w:line="360" w:lineRule="auto"/>
        <w:ind w:firstLine="851"/>
        <w:jc w:val="both"/>
        <w:rPr>
          <w:rFonts w:asciiTheme="majorBidi" w:hAnsiTheme="majorBidi" w:cstheme="majorBidi"/>
          <w:sz w:val="24"/>
          <w:szCs w:val="24"/>
        </w:rPr>
      </w:pPr>
      <w:r w:rsidRPr="0067484E">
        <w:rPr>
          <w:rFonts w:asciiTheme="majorBidi" w:hAnsiTheme="majorBidi" w:cstheme="majorBidi"/>
          <w:sz w:val="24"/>
          <w:szCs w:val="24"/>
        </w:rPr>
        <w:t xml:space="preserve">La gestion des risques constitue un levier essentiel pour la réussite du </w:t>
      </w:r>
      <w:r w:rsidRPr="0067484E" w:rsidR="009F0124">
        <w:rPr>
          <w:rFonts w:asciiTheme="majorBidi" w:hAnsiTheme="majorBidi" w:cstheme="majorBidi"/>
          <w:sz w:val="24"/>
          <w:szCs w:val="24"/>
        </w:rPr>
        <w:t>p</w:t>
      </w:r>
      <w:r w:rsidRPr="0067484E">
        <w:rPr>
          <w:rFonts w:asciiTheme="majorBidi" w:hAnsiTheme="majorBidi" w:cstheme="majorBidi"/>
          <w:sz w:val="24"/>
          <w:szCs w:val="24"/>
        </w:rPr>
        <w:t xml:space="preserve">rogramme MCA-Bénin Régional. Pour y répondre efficacement, un dispositif structuré, traçable et harmonisé </w:t>
      </w:r>
      <w:r w:rsidRPr="0067484E">
        <w:rPr>
          <w:rFonts w:asciiTheme="majorBidi" w:hAnsiTheme="majorBidi" w:cstheme="majorBidi"/>
          <w:sz w:val="24"/>
          <w:szCs w:val="24"/>
        </w:rPr>
        <w:t>est à déployer</w:t>
      </w:r>
      <w:r w:rsidRPr="0067484E" w:rsidR="009F0124">
        <w:rPr>
          <w:rFonts w:asciiTheme="majorBidi" w:hAnsiTheme="majorBidi" w:cstheme="majorBidi"/>
          <w:sz w:val="24"/>
          <w:szCs w:val="24"/>
        </w:rPr>
        <w:t xml:space="preserve"> par MOSES</w:t>
      </w:r>
      <w:r w:rsidRPr="0067484E">
        <w:rPr>
          <w:rFonts w:asciiTheme="majorBidi" w:hAnsiTheme="majorBidi" w:cstheme="majorBidi"/>
          <w:sz w:val="24"/>
          <w:szCs w:val="24"/>
        </w:rPr>
        <w:t xml:space="preserve">, couvrant l’ensemble du cycle de vie du risque, </w:t>
      </w:r>
      <w:r w:rsidRPr="0067484E" w:rsidR="009F0124">
        <w:rPr>
          <w:rFonts w:asciiTheme="majorBidi" w:hAnsiTheme="majorBidi" w:cstheme="majorBidi"/>
          <w:sz w:val="24"/>
          <w:szCs w:val="24"/>
        </w:rPr>
        <w:t>depuis</w:t>
      </w:r>
      <w:r w:rsidRPr="0067484E">
        <w:rPr>
          <w:rFonts w:asciiTheme="majorBidi" w:hAnsiTheme="majorBidi" w:cstheme="majorBidi"/>
          <w:sz w:val="24"/>
          <w:szCs w:val="24"/>
        </w:rPr>
        <w:t xml:space="preserve"> la déclaration à l’archivage.</w:t>
      </w:r>
    </w:p>
    <w:p w:rsidRPr="00590FAE" w:rsidR="00590FAE" w:rsidP="006411C6" w:rsidRDefault="00590FAE" w14:paraId="22C4FD23" w14:textId="1FDAAD56">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 xml:space="preserve">Le module Gestion </w:t>
      </w:r>
      <w:r w:rsidRPr="0067484E" w:rsidR="009F0124">
        <w:rPr>
          <w:rFonts w:asciiTheme="majorBidi" w:hAnsiTheme="majorBidi" w:cstheme="majorBidi"/>
          <w:sz w:val="24"/>
          <w:szCs w:val="24"/>
        </w:rPr>
        <w:t>D</w:t>
      </w:r>
      <w:r w:rsidRPr="00590FAE">
        <w:rPr>
          <w:rFonts w:asciiTheme="majorBidi" w:hAnsiTheme="majorBidi" w:cstheme="majorBidi"/>
          <w:sz w:val="24"/>
          <w:szCs w:val="24"/>
        </w:rPr>
        <w:t>es Risques (GDR) proposé vise à :</w:t>
      </w:r>
    </w:p>
    <w:p w:rsidRPr="00590FAE" w:rsidR="00590FAE" w:rsidP="006411C6" w:rsidRDefault="00590FAE" w14:paraId="7A2FEAC6" w14:textId="68577502">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590FAE">
        <w:rPr>
          <w:rFonts w:asciiTheme="majorBidi" w:hAnsiTheme="majorBidi" w:cstheme="majorBidi"/>
          <w:sz w:val="24"/>
          <w:szCs w:val="24"/>
        </w:rPr>
        <w:t>Centraliser l’ensemble des informations relatives aux risques identifiés ;</w:t>
      </w:r>
    </w:p>
    <w:p w:rsidRPr="00590FAE" w:rsidR="00590FAE" w:rsidP="006411C6" w:rsidRDefault="00590FAE" w14:paraId="1B4E9D93" w14:textId="77777777">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590FAE">
        <w:rPr>
          <w:rFonts w:asciiTheme="majorBidi" w:hAnsiTheme="majorBidi" w:cstheme="majorBidi"/>
          <w:sz w:val="24"/>
          <w:szCs w:val="24"/>
        </w:rPr>
        <w:t>Permettre aux différentes parties prenantes du programme de suivre l’exposition aux risques du programme et de ses contrats.</w:t>
      </w:r>
    </w:p>
    <w:p w:rsidRPr="00590FAE" w:rsidR="00590FAE" w:rsidP="006411C6" w:rsidRDefault="00590FAE" w14:paraId="31FFDCC1"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Ce module est conçu comme un module intégré aux modules du SGESSS.</w:t>
      </w:r>
    </w:p>
    <w:p w:rsidRPr="00590FAE" w:rsidR="00590FAE" w:rsidP="006411C6" w:rsidRDefault="00590FAE" w14:paraId="3FC4B579" w14:textId="77777777">
      <w:pPr>
        <w:numPr>
          <w:ilvl w:val="0"/>
          <w:numId w:val="2"/>
        </w:numPr>
        <w:tabs>
          <w:tab w:val="num" w:pos="720"/>
        </w:tabs>
        <w:spacing w:line="360" w:lineRule="auto"/>
        <w:jc w:val="both"/>
        <w:rPr>
          <w:rFonts w:asciiTheme="majorBidi" w:hAnsiTheme="majorBidi" w:cstheme="majorBidi"/>
          <w:b/>
          <w:bCs/>
          <w:sz w:val="24"/>
          <w:szCs w:val="24"/>
        </w:rPr>
      </w:pPr>
      <w:r w:rsidRPr="00590FAE">
        <w:rPr>
          <w:rFonts w:asciiTheme="majorBidi" w:hAnsiTheme="majorBidi" w:cstheme="majorBidi"/>
          <w:b/>
          <w:bCs/>
          <w:sz w:val="24"/>
          <w:szCs w:val="24"/>
        </w:rPr>
        <w:t>Objectifs du module</w:t>
      </w:r>
    </w:p>
    <w:p w:rsidRPr="0067484E" w:rsidR="009F0124" w:rsidP="0067484E" w:rsidRDefault="00590FAE" w14:paraId="530B6B81" w14:textId="77777777">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67484E">
        <w:rPr>
          <w:rFonts w:asciiTheme="majorBidi" w:hAnsiTheme="majorBidi" w:cstheme="majorBidi"/>
          <w:b/>
          <w:bCs/>
          <w:sz w:val="24"/>
          <w:szCs w:val="24"/>
        </w:rPr>
        <w:t>Objectif général</w:t>
      </w:r>
    </w:p>
    <w:p w:rsidRPr="0067484E" w:rsidR="009F0124" w:rsidP="006411C6" w:rsidRDefault="00590FAE" w14:paraId="24DD9CD6" w14:textId="5494AC19">
      <w:pPr>
        <w:spacing w:line="360" w:lineRule="auto"/>
        <w:ind w:firstLine="851"/>
        <w:rPr>
          <w:rFonts w:asciiTheme="majorBidi" w:hAnsiTheme="majorBidi" w:cstheme="majorBidi"/>
          <w:sz w:val="24"/>
          <w:szCs w:val="24"/>
        </w:rPr>
      </w:pPr>
      <w:r w:rsidRPr="0067484E">
        <w:rPr>
          <w:rFonts w:asciiTheme="majorBidi" w:hAnsiTheme="majorBidi" w:cstheme="majorBidi"/>
          <w:sz w:val="24"/>
          <w:szCs w:val="24"/>
        </w:rPr>
        <w:t>Mettre à disposition du MCA-Bénin Régional un outil informatique intégré permettant de déclarer, approuver, analyser, traiter, suivre et clore l’ensemble des risques du programme, conformément au cadre de gestion des risques.</w:t>
      </w:r>
    </w:p>
    <w:p w:rsidRPr="0067484E" w:rsidR="00590FAE" w:rsidP="0067484E" w:rsidRDefault="00590FAE" w14:paraId="669EDA50" w14:textId="70CD63F1">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67484E">
        <w:rPr>
          <w:rFonts w:asciiTheme="majorBidi" w:hAnsiTheme="majorBidi" w:cstheme="majorBidi"/>
          <w:b/>
          <w:bCs/>
          <w:sz w:val="24"/>
          <w:szCs w:val="24"/>
        </w:rPr>
        <w:t>Objectifs spécifiques</w:t>
      </w:r>
    </w:p>
    <w:p w:rsidRPr="0067484E" w:rsidR="00103B1C" w:rsidP="00103B1C" w:rsidRDefault="00103B1C" w14:paraId="3CECADF1" w14:textId="77777777">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67484E">
        <w:rPr>
          <w:rFonts w:asciiTheme="majorBidi" w:hAnsiTheme="majorBidi" w:cstheme="majorBidi"/>
          <w:sz w:val="24"/>
          <w:szCs w:val="24"/>
        </w:rPr>
        <w:t>Permettre à un utilisateur de déclarer un risque ;</w:t>
      </w:r>
    </w:p>
    <w:p w:rsidRPr="0067484E" w:rsidR="00103B1C" w:rsidP="00103B1C" w:rsidRDefault="00103B1C" w14:paraId="5ED9BDCE" w14:textId="7D78CD2A">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67484E">
        <w:rPr>
          <w:rFonts w:asciiTheme="majorBidi" w:hAnsiTheme="majorBidi" w:cstheme="majorBidi"/>
          <w:sz w:val="24"/>
          <w:szCs w:val="24"/>
        </w:rPr>
        <w:t xml:space="preserve">Permettre à un approbateur de valider ou de rejeter un risque relevant du domaine dont il </w:t>
      </w:r>
      <w:r w:rsidRPr="0067484E" w:rsidR="00DA3FEC">
        <w:rPr>
          <w:rFonts w:asciiTheme="majorBidi" w:hAnsiTheme="majorBidi" w:cstheme="majorBidi"/>
          <w:sz w:val="24"/>
          <w:szCs w:val="24"/>
        </w:rPr>
        <w:t xml:space="preserve">est en </w:t>
      </w:r>
      <w:r w:rsidRPr="0067484E">
        <w:rPr>
          <w:rFonts w:asciiTheme="majorBidi" w:hAnsiTheme="majorBidi" w:cstheme="majorBidi"/>
          <w:sz w:val="24"/>
          <w:szCs w:val="24"/>
        </w:rPr>
        <w:t>charge ;</w:t>
      </w:r>
    </w:p>
    <w:p w:rsidRPr="0067484E" w:rsidR="00103B1C" w:rsidP="00103B1C" w:rsidRDefault="00103B1C" w14:paraId="62537E12" w14:textId="77777777">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67484E">
        <w:rPr>
          <w:rFonts w:asciiTheme="majorBidi" w:hAnsiTheme="majorBidi" w:cstheme="majorBidi"/>
          <w:sz w:val="24"/>
          <w:szCs w:val="24"/>
        </w:rPr>
        <w:t>Permettre la saisie des données relatives à l’analyse d’un risque ;</w:t>
      </w:r>
    </w:p>
    <w:p w:rsidRPr="0067484E" w:rsidR="00103B1C" w:rsidP="00103B1C" w:rsidRDefault="00103B1C" w14:paraId="38186A81" w14:textId="77777777">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67484E">
        <w:rPr>
          <w:rFonts w:asciiTheme="majorBidi" w:hAnsiTheme="majorBidi" w:cstheme="majorBidi"/>
          <w:sz w:val="24"/>
          <w:szCs w:val="24"/>
        </w:rPr>
        <w:t>Permettre la planification de mesures d’atténuation pour un risque ;</w:t>
      </w:r>
    </w:p>
    <w:p w:rsidRPr="0067484E" w:rsidR="00103B1C" w:rsidP="00103B1C" w:rsidRDefault="00103B1C" w14:paraId="1BBABB45" w14:textId="77777777">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67484E">
        <w:rPr>
          <w:rFonts w:asciiTheme="majorBidi" w:hAnsiTheme="majorBidi" w:cstheme="majorBidi"/>
          <w:sz w:val="24"/>
          <w:szCs w:val="24"/>
        </w:rPr>
        <w:t>Permettre le suivi de la mise en œuvre des mesures ;</w:t>
      </w:r>
    </w:p>
    <w:p w:rsidR="00103B1C" w:rsidP="00103B1C" w:rsidRDefault="00103B1C" w14:paraId="65AF08D3" w14:textId="77777777">
      <w:pPr>
        <w:numPr>
          <w:ilvl w:val="0"/>
          <w:numId w:val="1"/>
        </w:numPr>
        <w:tabs>
          <w:tab w:val="clear" w:pos="720"/>
          <w:tab w:val="num" w:pos="851"/>
          <w:tab w:val="left" w:pos="1134"/>
        </w:tabs>
        <w:spacing w:line="360" w:lineRule="auto"/>
        <w:ind w:left="851" w:firstLine="0"/>
        <w:jc w:val="both"/>
        <w:rPr>
          <w:rFonts w:asciiTheme="majorBidi" w:hAnsiTheme="majorBidi" w:cstheme="majorBidi"/>
          <w:sz w:val="24"/>
          <w:szCs w:val="24"/>
        </w:rPr>
      </w:pPr>
      <w:r w:rsidRPr="0067484E">
        <w:rPr>
          <w:rFonts w:asciiTheme="majorBidi" w:hAnsiTheme="majorBidi" w:cstheme="majorBidi"/>
          <w:sz w:val="24"/>
          <w:szCs w:val="24"/>
        </w:rPr>
        <w:t>Permettre le suivi de l’évolution du statut d’un risque tout au long de son cycle de vie.</w:t>
      </w:r>
    </w:p>
    <w:p w:rsidRPr="0067484E" w:rsidR="00232FF5" w:rsidP="00232FF5" w:rsidRDefault="00232FF5" w14:paraId="269EBB52" w14:textId="77777777">
      <w:pPr>
        <w:tabs>
          <w:tab w:val="left" w:pos="1134"/>
        </w:tabs>
        <w:spacing w:line="360" w:lineRule="auto"/>
        <w:ind w:left="851"/>
        <w:jc w:val="both"/>
        <w:rPr>
          <w:rFonts w:asciiTheme="majorBidi" w:hAnsiTheme="majorBidi" w:cstheme="majorBidi"/>
          <w:sz w:val="24"/>
          <w:szCs w:val="24"/>
        </w:rPr>
      </w:pPr>
    </w:p>
    <w:p w:rsidRPr="00590FAE" w:rsidR="00590FAE" w:rsidP="00DA3FEC" w:rsidRDefault="00590FAE" w14:paraId="7B7D95D5" w14:textId="77777777">
      <w:pPr>
        <w:numPr>
          <w:ilvl w:val="0"/>
          <w:numId w:val="2"/>
        </w:numPr>
        <w:tabs>
          <w:tab w:val="num" w:pos="720"/>
        </w:tabs>
        <w:spacing w:line="360" w:lineRule="auto"/>
        <w:jc w:val="both"/>
        <w:rPr>
          <w:rFonts w:asciiTheme="majorBidi" w:hAnsiTheme="majorBidi" w:cstheme="majorBidi"/>
          <w:b/>
          <w:bCs/>
          <w:sz w:val="24"/>
          <w:szCs w:val="24"/>
        </w:rPr>
      </w:pPr>
      <w:r w:rsidRPr="00590FAE">
        <w:rPr>
          <w:rFonts w:asciiTheme="majorBidi" w:hAnsiTheme="majorBidi" w:cstheme="majorBidi"/>
          <w:b/>
          <w:bCs/>
          <w:sz w:val="24"/>
          <w:szCs w:val="24"/>
        </w:rPr>
        <w:lastRenderedPageBreak/>
        <w:t>Architecture générale du module</w:t>
      </w:r>
    </w:p>
    <w:p w:rsidRPr="00590FAE" w:rsidR="00590FAE" w:rsidP="006411C6" w:rsidRDefault="00590FAE" w14:paraId="1BEA155A"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Le module est structuré autour de trois grandes parties complémentaires :</w:t>
      </w:r>
    </w:p>
    <w:p w:rsidRPr="00590FAE" w:rsidR="00590FAE" w:rsidP="006411C6" w:rsidRDefault="00590FAE" w14:paraId="7E41D2AB" w14:textId="35B9B201">
      <w:pPr>
        <w:numPr>
          <w:ilvl w:val="0"/>
          <w:numId w:val="5"/>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Partie 1 :</w:t>
      </w:r>
      <w:r w:rsidRPr="00590FAE">
        <w:rPr>
          <w:rFonts w:asciiTheme="majorBidi" w:hAnsiTheme="majorBidi" w:cstheme="majorBidi"/>
          <w:sz w:val="24"/>
          <w:szCs w:val="24"/>
        </w:rPr>
        <w:t xml:space="preserve"> </w:t>
      </w:r>
      <w:r w:rsidRPr="0067484E" w:rsidR="00DA3FEC">
        <w:rPr>
          <w:rFonts w:asciiTheme="majorBidi" w:hAnsiTheme="majorBidi" w:cstheme="majorBidi"/>
          <w:sz w:val="24"/>
          <w:szCs w:val="24"/>
        </w:rPr>
        <w:t xml:space="preserve">Un registre des risques qui affiche tous les risques saisis dans le module GDR avec toutes les données pertinentes. </w:t>
      </w:r>
      <w:r w:rsidRPr="00590FAE">
        <w:rPr>
          <w:rFonts w:asciiTheme="majorBidi" w:hAnsiTheme="majorBidi" w:cstheme="majorBidi"/>
          <w:sz w:val="24"/>
          <w:szCs w:val="24"/>
        </w:rPr>
        <w:t xml:space="preserve"> </w:t>
      </w:r>
    </w:p>
    <w:p w:rsidRPr="00590FAE" w:rsidR="00590FAE" w:rsidP="006411C6" w:rsidRDefault="00590FAE" w14:paraId="3E3BD412" w14:textId="48255EC2">
      <w:pPr>
        <w:numPr>
          <w:ilvl w:val="0"/>
          <w:numId w:val="5"/>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Partie 2 :</w:t>
      </w:r>
      <w:r w:rsidRPr="00590FAE">
        <w:rPr>
          <w:rFonts w:asciiTheme="majorBidi" w:hAnsiTheme="majorBidi" w:cstheme="majorBidi"/>
          <w:sz w:val="24"/>
          <w:szCs w:val="24"/>
        </w:rPr>
        <w:t xml:space="preserve"> </w:t>
      </w:r>
      <w:r w:rsidRPr="0067484E" w:rsidR="00DA3FEC">
        <w:rPr>
          <w:rFonts w:asciiTheme="majorBidi" w:hAnsiTheme="majorBidi" w:cstheme="majorBidi"/>
          <w:sz w:val="24"/>
          <w:szCs w:val="24"/>
        </w:rPr>
        <w:t xml:space="preserve">La gestion </w:t>
      </w:r>
      <w:r w:rsidRPr="00590FAE">
        <w:rPr>
          <w:rFonts w:asciiTheme="majorBidi" w:hAnsiTheme="majorBidi" w:cstheme="majorBidi"/>
          <w:sz w:val="24"/>
          <w:szCs w:val="24"/>
        </w:rPr>
        <w:t xml:space="preserve">du cycle de vie des risques, </w:t>
      </w:r>
      <w:r w:rsidRPr="0067484E" w:rsidR="00DA3FEC">
        <w:rPr>
          <w:rFonts w:asciiTheme="majorBidi" w:hAnsiTheme="majorBidi" w:cstheme="majorBidi"/>
          <w:sz w:val="24"/>
          <w:szCs w:val="24"/>
        </w:rPr>
        <w:t xml:space="preserve">en respectant le cycle ci-dessous </w:t>
      </w:r>
      <w:r w:rsidRPr="00590FAE">
        <w:rPr>
          <w:rFonts w:asciiTheme="majorBidi" w:hAnsiTheme="majorBidi" w:cstheme="majorBidi"/>
          <w:sz w:val="24"/>
          <w:szCs w:val="24"/>
        </w:rPr>
        <w:t>:</w:t>
      </w:r>
    </w:p>
    <w:p w:rsidRPr="00590FAE" w:rsidR="00590FAE" w:rsidP="006411C6" w:rsidRDefault="00590FAE" w14:paraId="18438A63" w14:textId="77777777">
      <w:pPr>
        <w:numPr>
          <w:ilvl w:val="1"/>
          <w:numId w:val="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Déclaration</w:t>
      </w:r>
    </w:p>
    <w:p w:rsidRPr="00590FAE" w:rsidR="00590FAE" w:rsidP="006411C6" w:rsidRDefault="00590FAE" w14:paraId="7220B541" w14:textId="77777777">
      <w:pPr>
        <w:numPr>
          <w:ilvl w:val="1"/>
          <w:numId w:val="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Approbation</w:t>
      </w:r>
    </w:p>
    <w:p w:rsidRPr="00590FAE" w:rsidR="00590FAE" w:rsidP="006411C6" w:rsidRDefault="00590FAE" w14:paraId="6BD66EC7" w14:textId="77777777">
      <w:pPr>
        <w:numPr>
          <w:ilvl w:val="1"/>
          <w:numId w:val="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Analyse</w:t>
      </w:r>
    </w:p>
    <w:p w:rsidRPr="00590FAE" w:rsidR="00590FAE" w:rsidP="006411C6" w:rsidRDefault="00590FAE" w14:paraId="1C64C55A" w14:textId="77777777">
      <w:pPr>
        <w:numPr>
          <w:ilvl w:val="1"/>
          <w:numId w:val="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Planification des mesures</w:t>
      </w:r>
    </w:p>
    <w:p w:rsidRPr="00590FAE" w:rsidR="00590FAE" w:rsidP="006411C6" w:rsidRDefault="00590FAE" w14:paraId="60F3C750" w14:textId="77777777">
      <w:pPr>
        <w:numPr>
          <w:ilvl w:val="1"/>
          <w:numId w:val="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Suivi des mesures</w:t>
      </w:r>
    </w:p>
    <w:p w:rsidRPr="00590FAE" w:rsidR="00590FAE" w:rsidP="006411C6" w:rsidRDefault="00590FAE" w14:paraId="03323C0E" w14:textId="77777777">
      <w:pPr>
        <w:numPr>
          <w:ilvl w:val="1"/>
          <w:numId w:val="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Clôture</w:t>
      </w:r>
    </w:p>
    <w:p w:rsidRPr="00590FAE" w:rsidR="00590FAE" w:rsidP="006411C6" w:rsidRDefault="00590FAE" w14:paraId="39369F75" w14:textId="77777777">
      <w:pPr>
        <w:numPr>
          <w:ilvl w:val="1"/>
          <w:numId w:val="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Archivage</w:t>
      </w:r>
    </w:p>
    <w:p w:rsidRPr="00590FAE" w:rsidR="00590FAE" w:rsidP="006411C6" w:rsidRDefault="00590FAE" w14:paraId="7F901216" w14:textId="7D8EF44F">
      <w:pPr>
        <w:numPr>
          <w:ilvl w:val="0"/>
          <w:numId w:val="5"/>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Partie 3 :</w:t>
      </w:r>
      <w:r w:rsidRPr="00590FAE">
        <w:rPr>
          <w:rFonts w:asciiTheme="majorBidi" w:hAnsiTheme="majorBidi" w:cstheme="majorBidi"/>
          <w:sz w:val="24"/>
          <w:szCs w:val="24"/>
        </w:rPr>
        <w:t xml:space="preserve"> Un </w:t>
      </w:r>
      <w:proofErr w:type="spellStart"/>
      <w:r w:rsidRPr="00590FAE">
        <w:rPr>
          <w:rFonts w:asciiTheme="majorBidi" w:hAnsiTheme="majorBidi" w:cstheme="majorBidi"/>
          <w:sz w:val="24"/>
          <w:szCs w:val="24"/>
        </w:rPr>
        <w:t>dashboard</w:t>
      </w:r>
      <w:proofErr w:type="spellEnd"/>
      <w:r w:rsidRPr="00590FAE">
        <w:rPr>
          <w:rFonts w:asciiTheme="majorBidi" w:hAnsiTheme="majorBidi" w:cstheme="majorBidi"/>
          <w:sz w:val="24"/>
          <w:szCs w:val="24"/>
        </w:rPr>
        <w:t xml:space="preserve"> à double niveau (opérationnel &amp; exécutif) permet</w:t>
      </w:r>
      <w:r w:rsidRPr="0067484E" w:rsidR="00DA3FEC">
        <w:rPr>
          <w:rFonts w:asciiTheme="majorBidi" w:hAnsiTheme="majorBidi" w:cstheme="majorBidi"/>
          <w:sz w:val="24"/>
          <w:szCs w:val="24"/>
        </w:rPr>
        <w:t xml:space="preserve">tant </w:t>
      </w:r>
      <w:r w:rsidRPr="00590FAE">
        <w:rPr>
          <w:rFonts w:asciiTheme="majorBidi" w:hAnsiTheme="majorBidi" w:cstheme="majorBidi"/>
          <w:sz w:val="24"/>
          <w:szCs w:val="24"/>
        </w:rPr>
        <w:t>l’analyse consolidée de l’exposition aux risques et éclaire la prise de décision.</w:t>
      </w:r>
    </w:p>
    <w:p w:rsidRPr="00590FAE" w:rsidR="00590FAE" w:rsidP="006411C6" w:rsidRDefault="00590FAE" w14:paraId="5512CAE1" w14:textId="77777777">
      <w:pPr>
        <w:numPr>
          <w:ilvl w:val="0"/>
          <w:numId w:val="6"/>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Partie 2 – Gestion du cycle de vie des risques</w:t>
      </w:r>
    </w:p>
    <w:p w:rsidRPr="00590FAE" w:rsidR="00590FAE" w:rsidP="00DA3FEC" w:rsidRDefault="00590FAE" w14:paraId="4CFE015D" w14:textId="7D1D10F3">
      <w:pPr>
        <w:numPr>
          <w:ilvl w:val="0"/>
          <w:numId w:val="2"/>
        </w:numPr>
        <w:tabs>
          <w:tab w:val="num" w:pos="720"/>
        </w:tabs>
        <w:spacing w:line="360" w:lineRule="auto"/>
        <w:jc w:val="both"/>
        <w:rPr>
          <w:rFonts w:asciiTheme="majorBidi" w:hAnsiTheme="majorBidi" w:cstheme="majorBidi"/>
          <w:b/>
          <w:bCs/>
          <w:sz w:val="24"/>
          <w:szCs w:val="24"/>
        </w:rPr>
      </w:pPr>
      <w:r w:rsidRPr="00590FAE">
        <w:rPr>
          <w:rFonts w:asciiTheme="majorBidi" w:hAnsiTheme="majorBidi" w:cstheme="majorBidi"/>
          <w:b/>
          <w:bCs/>
          <w:sz w:val="24"/>
          <w:szCs w:val="24"/>
        </w:rPr>
        <w:t xml:space="preserve">Rôles </w:t>
      </w:r>
      <w:r w:rsidRPr="0067484E" w:rsidR="00263D69">
        <w:rPr>
          <w:rFonts w:asciiTheme="majorBidi" w:hAnsiTheme="majorBidi" w:cstheme="majorBidi"/>
          <w:b/>
          <w:bCs/>
          <w:sz w:val="24"/>
          <w:szCs w:val="24"/>
        </w:rPr>
        <w:t>et autorisations</w:t>
      </w:r>
    </w:p>
    <w:p w:rsidRPr="00590FAE" w:rsidR="00590FAE" w:rsidP="006411C6" w:rsidRDefault="00590FAE" w14:paraId="47872EA4" w14:textId="4C53BC24">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 xml:space="preserve">Le module intègre une gestion des rôles </w:t>
      </w:r>
      <w:r w:rsidRPr="0067484E" w:rsidR="00D23A57">
        <w:rPr>
          <w:rFonts w:asciiTheme="majorBidi" w:hAnsiTheme="majorBidi" w:cstheme="majorBidi"/>
          <w:sz w:val="24"/>
          <w:szCs w:val="24"/>
        </w:rPr>
        <w:t>configurables par</w:t>
      </w:r>
      <w:r w:rsidRPr="00590FAE">
        <w:rPr>
          <w:rFonts w:asciiTheme="majorBidi" w:hAnsiTheme="majorBidi" w:cstheme="majorBidi"/>
          <w:sz w:val="24"/>
          <w:szCs w:val="24"/>
        </w:rPr>
        <w:t xml:space="preserve"> domaines</w:t>
      </w:r>
      <w:r w:rsidRPr="0067484E" w:rsidR="00D23A57">
        <w:rPr>
          <w:rFonts w:asciiTheme="majorBidi" w:hAnsiTheme="majorBidi" w:cstheme="majorBidi"/>
          <w:sz w:val="24"/>
          <w:szCs w:val="24"/>
        </w:rPr>
        <w:t xml:space="preserve"> (voir </w:t>
      </w:r>
      <w:proofErr w:type="gramStart"/>
      <w:r w:rsidRPr="0067484E" w:rsidR="00D23A57">
        <w:rPr>
          <w:rFonts w:asciiTheme="majorBidi" w:hAnsiTheme="majorBidi" w:cstheme="majorBidi"/>
          <w:sz w:val="24"/>
          <w:szCs w:val="24"/>
        </w:rPr>
        <w:t>annexe )</w:t>
      </w:r>
      <w:proofErr w:type="gramEnd"/>
      <w:r w:rsidRPr="0067484E" w:rsidR="00D23A57">
        <w:rPr>
          <w:rFonts w:asciiTheme="majorBidi" w:hAnsiTheme="majorBidi" w:cstheme="majorBidi"/>
          <w:sz w:val="24"/>
          <w:szCs w:val="24"/>
        </w:rPr>
        <w:t xml:space="preserve"> </w:t>
      </w:r>
      <w:r w:rsidRPr="00590FAE">
        <w:rPr>
          <w:rFonts w:asciiTheme="majorBidi" w:hAnsiTheme="majorBidi" w:cstheme="majorBidi"/>
          <w:sz w:val="24"/>
          <w:szCs w:val="24"/>
        </w:rPr>
        <w:t>:</w:t>
      </w:r>
    </w:p>
    <w:tbl>
      <w:tblPr>
        <w:tblStyle w:val="TableauListe3-Accentuation1"/>
        <w:tblW w:w="9640" w:type="dxa"/>
        <w:tblInd w:w="-289" w:type="dxa"/>
        <w:tblLook w:val="04A0" w:firstRow="1" w:lastRow="0" w:firstColumn="1" w:lastColumn="0" w:noHBand="0" w:noVBand="1"/>
      </w:tblPr>
      <w:tblGrid>
        <w:gridCol w:w="1559"/>
        <w:gridCol w:w="3120"/>
        <w:gridCol w:w="4961"/>
      </w:tblGrid>
      <w:tr w:rsidRPr="00590FAE" w:rsidR="00232FF5" w:rsidTr="00232FF5" w14:paraId="4F6F3BC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9" w:type="dxa"/>
            <w:hideMark/>
          </w:tcPr>
          <w:p w:rsidRPr="00590FAE" w:rsidR="00590FAE" w:rsidP="006411C6" w:rsidRDefault="00590FAE" w14:paraId="28152BF6" w14:textId="77777777">
            <w:pPr>
              <w:spacing w:after="160" w:line="360" w:lineRule="auto"/>
              <w:jc w:val="both"/>
              <w:rPr>
                <w:rFonts w:asciiTheme="majorBidi" w:hAnsiTheme="majorBidi" w:cstheme="majorBidi"/>
                <w:b w:val="0"/>
                <w:bCs w:val="0"/>
                <w:sz w:val="24"/>
                <w:szCs w:val="24"/>
              </w:rPr>
            </w:pPr>
            <w:r w:rsidRPr="00590FAE">
              <w:rPr>
                <w:rFonts w:asciiTheme="majorBidi" w:hAnsiTheme="majorBidi" w:cstheme="majorBidi"/>
                <w:b w:val="0"/>
                <w:bCs w:val="0"/>
                <w:sz w:val="24"/>
                <w:szCs w:val="24"/>
              </w:rPr>
              <w:t>Rôle</w:t>
            </w:r>
          </w:p>
        </w:tc>
        <w:tc>
          <w:tcPr>
            <w:tcW w:w="3120" w:type="dxa"/>
            <w:hideMark/>
          </w:tcPr>
          <w:p w:rsidRPr="00590FAE" w:rsidR="00590FAE" w:rsidP="006411C6" w:rsidRDefault="00D23A57" w14:paraId="4F4442CD" w14:textId="77DC23A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67484E">
              <w:rPr>
                <w:rFonts w:asciiTheme="majorBidi" w:hAnsiTheme="majorBidi" w:cstheme="majorBidi"/>
                <w:b w:val="0"/>
                <w:bCs w:val="0"/>
                <w:sz w:val="24"/>
                <w:szCs w:val="24"/>
              </w:rPr>
              <w:t>Autorisation (s)</w:t>
            </w:r>
          </w:p>
        </w:tc>
        <w:tc>
          <w:tcPr>
            <w:tcW w:w="4961" w:type="dxa"/>
            <w:hideMark/>
          </w:tcPr>
          <w:p w:rsidRPr="00590FAE" w:rsidR="00590FAE" w:rsidP="006411C6" w:rsidRDefault="00590FAE" w14:paraId="08C3826D" w14:textId="7777777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590FAE">
              <w:rPr>
                <w:rFonts w:asciiTheme="majorBidi" w:hAnsiTheme="majorBidi" w:cstheme="majorBidi"/>
                <w:b w:val="0"/>
                <w:bCs w:val="0"/>
                <w:sz w:val="24"/>
                <w:szCs w:val="24"/>
              </w:rPr>
              <w:t>Configurable par domaine</w:t>
            </w:r>
          </w:p>
        </w:tc>
      </w:tr>
      <w:tr w:rsidRPr="00590FAE" w:rsidR="00232FF5" w:rsidTr="00232FF5" w14:paraId="6F151B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rsidRPr="00590FAE" w:rsidR="00590FAE" w:rsidP="006411C6" w:rsidRDefault="00590FAE" w14:paraId="79562E1E"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Déclarant</w:t>
            </w:r>
          </w:p>
        </w:tc>
        <w:tc>
          <w:tcPr>
            <w:tcW w:w="3120" w:type="dxa"/>
            <w:hideMark/>
          </w:tcPr>
          <w:p w:rsidRPr="00590FAE" w:rsidR="00590FAE" w:rsidP="006411C6" w:rsidRDefault="00590FAE" w14:paraId="7A341E65"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Peut créer un risque</w:t>
            </w:r>
          </w:p>
        </w:tc>
        <w:tc>
          <w:tcPr>
            <w:tcW w:w="4961" w:type="dxa"/>
            <w:hideMark/>
          </w:tcPr>
          <w:p w:rsidRPr="00590FAE" w:rsidR="00590FAE" w:rsidP="006411C6" w:rsidRDefault="00590FAE" w14:paraId="3C7EFF4E"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Plusieurs déclarants par domaine</w:t>
            </w:r>
          </w:p>
        </w:tc>
      </w:tr>
      <w:tr w:rsidRPr="00590FAE" w:rsidR="00232FF5" w:rsidTr="00232FF5" w14:paraId="0A319423" w14:textId="77777777">
        <w:tc>
          <w:tcPr>
            <w:cnfStyle w:val="001000000000" w:firstRow="0" w:lastRow="0" w:firstColumn="1" w:lastColumn="0" w:oddVBand="0" w:evenVBand="0" w:oddHBand="0" w:evenHBand="0" w:firstRowFirstColumn="0" w:firstRowLastColumn="0" w:lastRowFirstColumn="0" w:lastRowLastColumn="0"/>
            <w:tcW w:w="1559" w:type="dxa"/>
            <w:hideMark/>
          </w:tcPr>
          <w:p w:rsidRPr="00590FAE" w:rsidR="00590FAE" w:rsidP="006411C6" w:rsidRDefault="00590FAE" w14:paraId="17CC878B"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Approbateur</w:t>
            </w:r>
          </w:p>
        </w:tc>
        <w:tc>
          <w:tcPr>
            <w:tcW w:w="3120" w:type="dxa"/>
            <w:hideMark/>
          </w:tcPr>
          <w:p w:rsidRPr="00590FAE" w:rsidR="00590FAE" w:rsidP="006411C6" w:rsidRDefault="00590FAE" w14:paraId="1C78A029"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Approuve ou rejette le risque</w:t>
            </w:r>
          </w:p>
        </w:tc>
        <w:tc>
          <w:tcPr>
            <w:tcW w:w="4961" w:type="dxa"/>
            <w:hideMark/>
          </w:tcPr>
          <w:p w:rsidRPr="00590FAE" w:rsidR="00590FAE" w:rsidP="006411C6" w:rsidRDefault="00590FAE" w14:paraId="5AA5155E"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Un seul approbateur par domaine</w:t>
            </w:r>
          </w:p>
        </w:tc>
      </w:tr>
      <w:tr w:rsidRPr="00590FAE" w:rsidR="00232FF5" w:rsidTr="00232FF5" w14:paraId="50A4CD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rsidRPr="00590FAE" w:rsidR="00590FAE" w:rsidP="006411C6" w:rsidRDefault="00590FAE" w14:paraId="2B0CC627" w14:textId="2CAC382A">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Propriétaire du risque MOSES</w:t>
            </w:r>
          </w:p>
        </w:tc>
        <w:tc>
          <w:tcPr>
            <w:tcW w:w="3120" w:type="dxa"/>
            <w:hideMark/>
          </w:tcPr>
          <w:p w:rsidRPr="00590FAE" w:rsidR="00590FAE" w:rsidP="006411C6" w:rsidRDefault="00590FAE" w14:paraId="241A8BEE"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Prend en charge l’analyse, le traitement et le suivi</w:t>
            </w:r>
          </w:p>
        </w:tc>
        <w:tc>
          <w:tcPr>
            <w:tcW w:w="4961" w:type="dxa"/>
            <w:hideMark/>
          </w:tcPr>
          <w:p w:rsidRPr="00590FAE" w:rsidR="00590FAE" w:rsidP="006411C6" w:rsidRDefault="00590FAE" w14:paraId="2976E10F" w14:textId="6DA536E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Plusieurs propriétaires par domaine. L’approbateur choisit un seul propriétaire du risque MOSES et un seul homologue MCA à affecter à un risque</w:t>
            </w:r>
            <w:r w:rsidRPr="0067484E" w:rsidR="00263D69">
              <w:rPr>
                <w:rFonts w:asciiTheme="majorBidi" w:hAnsiTheme="majorBidi" w:cstheme="majorBidi"/>
                <w:sz w:val="24"/>
                <w:szCs w:val="24"/>
              </w:rPr>
              <w:t xml:space="preserve"> déclaré</w:t>
            </w:r>
            <w:r w:rsidRPr="00590FAE">
              <w:rPr>
                <w:rFonts w:asciiTheme="majorBidi" w:hAnsiTheme="majorBidi" w:cstheme="majorBidi"/>
                <w:sz w:val="24"/>
                <w:szCs w:val="24"/>
              </w:rPr>
              <w:t>.</w:t>
            </w:r>
          </w:p>
        </w:tc>
      </w:tr>
      <w:tr w:rsidRPr="00590FAE" w:rsidR="00232FF5" w:rsidTr="00232FF5" w14:paraId="33BF1F0C" w14:textId="77777777">
        <w:tc>
          <w:tcPr>
            <w:cnfStyle w:val="001000000000" w:firstRow="0" w:lastRow="0" w:firstColumn="1" w:lastColumn="0" w:oddVBand="0" w:evenVBand="0" w:oddHBand="0" w:evenHBand="0" w:firstRowFirstColumn="0" w:firstRowLastColumn="0" w:lastRowFirstColumn="0" w:lastRowLastColumn="0"/>
            <w:tcW w:w="1559" w:type="dxa"/>
            <w:hideMark/>
          </w:tcPr>
          <w:p w:rsidRPr="00590FAE" w:rsidR="00590FAE" w:rsidP="006411C6" w:rsidRDefault="00590FAE" w14:paraId="5D75F54C"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Homologue MCA</w:t>
            </w:r>
          </w:p>
        </w:tc>
        <w:tc>
          <w:tcPr>
            <w:tcW w:w="3120" w:type="dxa"/>
            <w:hideMark/>
          </w:tcPr>
          <w:p w:rsidRPr="00590FAE" w:rsidR="00590FAE" w:rsidP="006411C6" w:rsidRDefault="00590FAE" w14:paraId="11504771"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Notifié, collabore à la planification des mesures et au suivi des risques</w:t>
            </w:r>
          </w:p>
        </w:tc>
        <w:tc>
          <w:tcPr>
            <w:tcW w:w="4961" w:type="dxa"/>
            <w:hideMark/>
          </w:tcPr>
          <w:p w:rsidRPr="00590FAE" w:rsidR="00590FAE" w:rsidP="006411C6" w:rsidRDefault="00590FAE" w14:paraId="4FD183EE"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90FAE">
              <w:rPr>
                <w:rFonts w:asciiTheme="majorBidi" w:hAnsiTheme="majorBidi" w:cstheme="majorBidi"/>
                <w:sz w:val="24"/>
                <w:szCs w:val="24"/>
              </w:rPr>
              <w:t>Lié au propriétaire désigné</w:t>
            </w:r>
          </w:p>
        </w:tc>
      </w:tr>
    </w:tbl>
    <w:p w:rsidRPr="00590FAE" w:rsidR="00590FAE" w:rsidP="006411C6" w:rsidRDefault="00590FAE" w14:paraId="4616E42E" w14:textId="4CE68DA3">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lastRenderedPageBreak/>
        <w:t>À chaque changement de statut du risque, un ensemble d’utilisateurs prédéfini</w:t>
      </w:r>
      <w:r w:rsidRPr="0067484E" w:rsidR="00263D69">
        <w:rPr>
          <w:rFonts w:asciiTheme="majorBidi" w:hAnsiTheme="majorBidi" w:cstheme="majorBidi"/>
          <w:sz w:val="24"/>
          <w:szCs w:val="24"/>
        </w:rPr>
        <w:t>s</w:t>
      </w:r>
      <w:r w:rsidRPr="00590FAE">
        <w:rPr>
          <w:rFonts w:asciiTheme="majorBidi" w:hAnsiTheme="majorBidi" w:cstheme="majorBidi"/>
          <w:sz w:val="24"/>
          <w:szCs w:val="24"/>
        </w:rPr>
        <w:t xml:space="preserve"> </w:t>
      </w:r>
      <w:r w:rsidRPr="0067484E" w:rsidR="00D23A57">
        <w:rPr>
          <w:rFonts w:asciiTheme="majorBidi" w:hAnsiTheme="majorBidi" w:cstheme="majorBidi"/>
          <w:sz w:val="24"/>
          <w:szCs w:val="24"/>
        </w:rPr>
        <w:t>et configuré</w:t>
      </w:r>
      <w:r w:rsidRPr="0067484E" w:rsidR="00263D69">
        <w:rPr>
          <w:rFonts w:asciiTheme="majorBidi" w:hAnsiTheme="majorBidi" w:cstheme="majorBidi"/>
          <w:sz w:val="24"/>
          <w:szCs w:val="24"/>
        </w:rPr>
        <w:t xml:space="preserve">s </w:t>
      </w:r>
      <w:r w:rsidRPr="0067484E" w:rsidR="00D23A57">
        <w:rPr>
          <w:rFonts w:asciiTheme="majorBidi" w:hAnsiTheme="majorBidi" w:cstheme="majorBidi"/>
          <w:sz w:val="24"/>
          <w:szCs w:val="24"/>
        </w:rPr>
        <w:t xml:space="preserve">dans le module </w:t>
      </w:r>
      <w:r w:rsidRPr="00590FAE">
        <w:rPr>
          <w:rFonts w:asciiTheme="majorBidi" w:hAnsiTheme="majorBidi" w:cstheme="majorBidi"/>
          <w:sz w:val="24"/>
          <w:szCs w:val="24"/>
        </w:rPr>
        <w:t xml:space="preserve">par domaine </w:t>
      </w:r>
      <w:r w:rsidRPr="0067484E" w:rsidR="00D23A57">
        <w:rPr>
          <w:rFonts w:asciiTheme="majorBidi" w:hAnsiTheme="majorBidi" w:cstheme="majorBidi"/>
          <w:sz w:val="24"/>
          <w:szCs w:val="24"/>
        </w:rPr>
        <w:t>sont</w:t>
      </w:r>
      <w:r w:rsidRPr="00590FAE">
        <w:rPr>
          <w:rFonts w:asciiTheme="majorBidi" w:hAnsiTheme="majorBidi" w:cstheme="majorBidi"/>
          <w:sz w:val="24"/>
          <w:szCs w:val="24"/>
        </w:rPr>
        <w:t xml:space="preserve"> notifié par </w:t>
      </w:r>
      <w:proofErr w:type="gramStart"/>
      <w:r w:rsidRPr="00590FAE">
        <w:rPr>
          <w:rFonts w:asciiTheme="majorBidi" w:hAnsiTheme="majorBidi" w:cstheme="majorBidi"/>
          <w:sz w:val="24"/>
          <w:szCs w:val="24"/>
        </w:rPr>
        <w:t>email</w:t>
      </w:r>
      <w:proofErr w:type="gramEnd"/>
      <w:r w:rsidRPr="0067484E" w:rsidR="00D23A57">
        <w:rPr>
          <w:rFonts w:asciiTheme="majorBidi" w:hAnsiTheme="majorBidi" w:cstheme="majorBidi"/>
          <w:sz w:val="24"/>
          <w:szCs w:val="24"/>
        </w:rPr>
        <w:t xml:space="preserve"> pour qu’ils soient informé et apportent leurs feedbacks en temps réel</w:t>
      </w:r>
      <w:r w:rsidRPr="00590FAE">
        <w:rPr>
          <w:rFonts w:asciiTheme="majorBidi" w:hAnsiTheme="majorBidi" w:cstheme="majorBidi"/>
          <w:sz w:val="24"/>
          <w:szCs w:val="24"/>
        </w:rPr>
        <w:t>.</w:t>
      </w:r>
    </w:p>
    <w:p w:rsidRPr="00590FAE" w:rsidR="00590FAE" w:rsidP="00263D69" w:rsidRDefault="00590FAE" w14:paraId="679B963E" w14:textId="77777777">
      <w:pPr>
        <w:numPr>
          <w:ilvl w:val="0"/>
          <w:numId w:val="2"/>
        </w:numPr>
        <w:tabs>
          <w:tab w:val="num" w:pos="720"/>
        </w:tabs>
        <w:spacing w:line="360" w:lineRule="auto"/>
        <w:jc w:val="both"/>
        <w:rPr>
          <w:rFonts w:asciiTheme="majorBidi" w:hAnsiTheme="majorBidi" w:cstheme="majorBidi"/>
          <w:b/>
          <w:bCs/>
          <w:sz w:val="24"/>
          <w:szCs w:val="24"/>
        </w:rPr>
      </w:pPr>
      <w:r w:rsidRPr="00590FAE">
        <w:rPr>
          <w:rFonts w:asciiTheme="majorBidi" w:hAnsiTheme="majorBidi" w:cstheme="majorBidi"/>
          <w:b/>
          <w:bCs/>
          <w:sz w:val="24"/>
          <w:szCs w:val="24"/>
        </w:rPr>
        <w:t>Détail des étapes du cycle de vie</w:t>
      </w:r>
    </w:p>
    <w:p w:rsidRPr="00590FAE" w:rsidR="00590FAE" w:rsidP="0067484E" w:rsidRDefault="00590FAE" w14:paraId="56DFA429" w14:textId="339127E1">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Étape 1</w:t>
      </w:r>
      <w:r w:rsidRPr="0067484E" w:rsidR="0067484E">
        <w:rPr>
          <w:rFonts w:asciiTheme="majorBidi" w:hAnsiTheme="majorBidi" w:cstheme="majorBidi"/>
          <w:b/>
          <w:bCs/>
          <w:sz w:val="24"/>
          <w:szCs w:val="24"/>
        </w:rPr>
        <w:t xml:space="preserve"> : </w:t>
      </w:r>
      <w:r w:rsidRPr="00590FAE">
        <w:rPr>
          <w:rFonts w:asciiTheme="majorBidi" w:hAnsiTheme="majorBidi" w:cstheme="majorBidi"/>
          <w:b/>
          <w:bCs/>
          <w:sz w:val="24"/>
          <w:szCs w:val="24"/>
        </w:rPr>
        <w:t>Déclaration du risque</w:t>
      </w:r>
    </w:p>
    <w:p w:rsidRPr="00590FAE" w:rsidR="00590FAE" w:rsidP="006411C6" w:rsidRDefault="00590FAE" w14:paraId="5CA9985A" w14:textId="127E819D">
      <w:p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Acteur :</w:t>
      </w:r>
      <w:r w:rsidRPr="00590FAE">
        <w:rPr>
          <w:rFonts w:asciiTheme="majorBidi" w:hAnsiTheme="majorBidi" w:cstheme="majorBidi"/>
          <w:sz w:val="24"/>
          <w:szCs w:val="24"/>
        </w:rPr>
        <w:t xml:space="preserve"> Déclarant</w:t>
      </w:r>
      <w:r w:rsidRPr="0067484E" w:rsidR="00263D69">
        <w:rPr>
          <w:rFonts w:asciiTheme="majorBidi" w:hAnsiTheme="majorBidi" w:cstheme="majorBidi"/>
          <w:sz w:val="24"/>
          <w:szCs w:val="24"/>
        </w:rPr>
        <w:t xml:space="preserve"> du risque</w:t>
      </w:r>
    </w:p>
    <w:p w:rsidRPr="00590FAE" w:rsidR="00590FAE" w:rsidP="006411C6" w:rsidRDefault="00590FAE" w14:paraId="71469E44" w14:textId="77777777">
      <w:pPr>
        <w:spacing w:line="360" w:lineRule="auto"/>
        <w:jc w:val="both"/>
        <w:rPr>
          <w:rFonts w:asciiTheme="majorBidi" w:hAnsiTheme="majorBidi" w:cstheme="majorBidi"/>
          <w:b/>
          <w:bCs/>
          <w:sz w:val="24"/>
          <w:szCs w:val="24"/>
        </w:rPr>
      </w:pPr>
      <w:r w:rsidRPr="00590FAE">
        <w:rPr>
          <w:rFonts w:asciiTheme="majorBidi" w:hAnsiTheme="majorBidi" w:cstheme="majorBidi"/>
          <w:b/>
          <w:bCs/>
          <w:sz w:val="24"/>
          <w:szCs w:val="24"/>
        </w:rPr>
        <w:t>Champs obligatoires :</w:t>
      </w:r>
    </w:p>
    <w:p w:rsidRPr="00590FAE" w:rsidR="00590FAE" w:rsidP="006411C6" w:rsidRDefault="00590FAE" w14:paraId="3D329449" w14:textId="77777777">
      <w:pPr>
        <w:numPr>
          <w:ilvl w:val="0"/>
          <w:numId w:val="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Intitulé du risque</w:t>
      </w:r>
    </w:p>
    <w:p w:rsidRPr="00590FAE" w:rsidR="00590FAE" w:rsidP="006411C6" w:rsidRDefault="00590FAE" w14:paraId="586F787A" w14:textId="77777777">
      <w:pPr>
        <w:numPr>
          <w:ilvl w:val="0"/>
          <w:numId w:val="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Description du risque</w:t>
      </w:r>
    </w:p>
    <w:p w:rsidRPr="00590FAE" w:rsidR="00590FAE" w:rsidP="006411C6" w:rsidRDefault="00590FAE" w14:paraId="476DD6DB" w14:textId="77777777">
      <w:pPr>
        <w:numPr>
          <w:ilvl w:val="0"/>
          <w:numId w:val="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Date d’identification</w:t>
      </w:r>
    </w:p>
    <w:p w:rsidRPr="00590FAE" w:rsidR="00590FAE" w:rsidP="006411C6" w:rsidRDefault="00590FAE" w14:paraId="5BD87708" w14:textId="77777777">
      <w:pPr>
        <w:numPr>
          <w:ilvl w:val="0"/>
          <w:numId w:val="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Domaine du risque</w:t>
      </w:r>
    </w:p>
    <w:p w:rsidRPr="00590FAE" w:rsidR="00590FAE" w:rsidP="006411C6" w:rsidRDefault="00590FAE" w14:paraId="1A5B6831" w14:textId="77777777">
      <w:pPr>
        <w:numPr>
          <w:ilvl w:val="0"/>
          <w:numId w:val="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Projet</w:t>
      </w:r>
    </w:p>
    <w:p w:rsidRPr="00590FAE" w:rsidR="00590FAE" w:rsidP="489B41B6" w:rsidRDefault="00590FAE" w14:paraId="3FB8E410" w14:textId="77777777">
      <w:pPr>
        <w:numPr>
          <w:ilvl w:val="0"/>
          <w:numId w:val="8"/>
        </w:numPr>
        <w:spacing w:line="360" w:lineRule="auto"/>
        <w:jc w:val="both"/>
        <w:rPr>
          <w:rFonts w:ascii="Times New Roman" w:hAnsi="Times New Roman" w:cs="Times New Roman" w:asciiTheme="majorBidi" w:hAnsiTheme="majorBidi" w:cstheme="majorBidi"/>
          <w:sz w:val="24"/>
          <w:szCs w:val="24"/>
        </w:rPr>
      </w:pPr>
      <w:r w:rsidRPr="09945018" w:rsidR="09945018">
        <w:rPr>
          <w:rFonts w:ascii="Times New Roman" w:hAnsi="Times New Roman" w:cs="Times New Roman" w:asciiTheme="majorBidi" w:hAnsiTheme="majorBidi" w:cstheme="majorBidi"/>
          <w:sz w:val="24"/>
          <w:szCs w:val="24"/>
        </w:rPr>
        <w:t>Niveau GDR</w:t>
      </w:r>
    </w:p>
    <w:p w:rsidRPr="00590FAE" w:rsidR="00590FAE" w:rsidP="006411C6" w:rsidRDefault="00590FAE" w14:paraId="3311FF7F" w14:textId="77777777">
      <w:pPr>
        <w:numPr>
          <w:ilvl w:val="0"/>
          <w:numId w:val="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Code contrat (le cas échéant)</w:t>
      </w:r>
    </w:p>
    <w:p w:rsidRPr="00590FAE" w:rsidR="00590FAE" w:rsidP="006411C6" w:rsidRDefault="00590FAE" w14:paraId="54838221" w14:textId="77777777">
      <w:p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Champs optionnels</w:t>
      </w:r>
      <w:r w:rsidRPr="00590FAE">
        <w:rPr>
          <w:rFonts w:asciiTheme="majorBidi" w:hAnsiTheme="majorBidi" w:cstheme="majorBidi"/>
          <w:sz w:val="24"/>
          <w:szCs w:val="24"/>
        </w:rPr>
        <w:t xml:space="preserve"> (pour inciter le déclarant à entamer une première analyse) :</w:t>
      </w:r>
    </w:p>
    <w:p w:rsidRPr="00590FAE" w:rsidR="00590FAE" w:rsidP="006411C6" w:rsidRDefault="00590FAE" w14:paraId="54240168" w14:textId="77777777">
      <w:pPr>
        <w:numPr>
          <w:ilvl w:val="0"/>
          <w:numId w:val="9"/>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Cause(s)</w:t>
      </w:r>
    </w:p>
    <w:p w:rsidRPr="00590FAE" w:rsidR="00590FAE" w:rsidP="006411C6" w:rsidRDefault="00590FAE" w14:paraId="0456CF52" w14:textId="77777777">
      <w:pPr>
        <w:numPr>
          <w:ilvl w:val="0"/>
          <w:numId w:val="9"/>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Catégorie(s) concernée(s)</w:t>
      </w:r>
    </w:p>
    <w:p w:rsidRPr="00590FAE" w:rsidR="00590FAE" w:rsidP="006411C6" w:rsidRDefault="00590FAE" w14:paraId="115C3CC8" w14:textId="77777777">
      <w:pPr>
        <w:numPr>
          <w:ilvl w:val="0"/>
          <w:numId w:val="9"/>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Conséquence(s)</w:t>
      </w:r>
    </w:p>
    <w:p w:rsidRPr="00590FAE" w:rsidR="00590FAE" w:rsidP="006411C6" w:rsidRDefault="00590FAE" w14:paraId="1A947CC8" w14:textId="77777777">
      <w:pPr>
        <w:numPr>
          <w:ilvl w:val="0"/>
          <w:numId w:val="9"/>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Document(s) attaché(s)</w:t>
      </w:r>
    </w:p>
    <w:p w:rsidRPr="00590FAE" w:rsidR="00590FAE" w:rsidP="0067484E" w:rsidRDefault="00590FAE" w14:paraId="4D83BA01" w14:textId="650E0577">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Étape 2</w:t>
      </w:r>
      <w:r w:rsidRPr="0067484E" w:rsidR="0067484E">
        <w:rPr>
          <w:rFonts w:asciiTheme="majorBidi" w:hAnsiTheme="majorBidi" w:cstheme="majorBidi"/>
          <w:b/>
          <w:bCs/>
          <w:sz w:val="24"/>
          <w:szCs w:val="24"/>
        </w:rPr>
        <w:t> :</w:t>
      </w:r>
      <w:r w:rsidRPr="00590FAE">
        <w:rPr>
          <w:rFonts w:asciiTheme="majorBidi" w:hAnsiTheme="majorBidi" w:cstheme="majorBidi"/>
          <w:b/>
          <w:bCs/>
          <w:sz w:val="24"/>
          <w:szCs w:val="24"/>
        </w:rPr>
        <w:t xml:space="preserve"> Approbation du risque</w:t>
      </w:r>
    </w:p>
    <w:p w:rsidRPr="00590FAE" w:rsidR="00590FAE" w:rsidP="006411C6" w:rsidRDefault="00590FAE" w14:paraId="51839ECA" w14:textId="158E3087">
      <w:p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Acteur :</w:t>
      </w:r>
      <w:r w:rsidRPr="00590FAE">
        <w:rPr>
          <w:rFonts w:asciiTheme="majorBidi" w:hAnsiTheme="majorBidi" w:cstheme="majorBidi"/>
          <w:sz w:val="24"/>
          <w:szCs w:val="24"/>
        </w:rPr>
        <w:t xml:space="preserve"> Approbateur </w:t>
      </w:r>
      <w:r w:rsidRPr="0067484E" w:rsidR="0067484E">
        <w:rPr>
          <w:rFonts w:asciiTheme="majorBidi" w:hAnsiTheme="majorBidi" w:cstheme="majorBidi"/>
          <w:sz w:val="24"/>
          <w:szCs w:val="24"/>
        </w:rPr>
        <w:t xml:space="preserve">du risque </w:t>
      </w:r>
      <w:r w:rsidRPr="00590FAE">
        <w:rPr>
          <w:rFonts w:asciiTheme="majorBidi" w:hAnsiTheme="majorBidi" w:cstheme="majorBidi"/>
          <w:sz w:val="24"/>
          <w:szCs w:val="24"/>
        </w:rPr>
        <w:t xml:space="preserve">(unique </w:t>
      </w:r>
      <w:r w:rsidRPr="0067484E" w:rsidR="0067484E">
        <w:rPr>
          <w:rFonts w:asciiTheme="majorBidi" w:hAnsiTheme="majorBidi" w:cstheme="majorBidi"/>
          <w:sz w:val="24"/>
          <w:szCs w:val="24"/>
        </w:rPr>
        <w:t>pour chaque</w:t>
      </w:r>
      <w:r w:rsidRPr="00590FAE">
        <w:rPr>
          <w:rFonts w:asciiTheme="majorBidi" w:hAnsiTheme="majorBidi" w:cstheme="majorBidi"/>
          <w:sz w:val="24"/>
          <w:szCs w:val="24"/>
        </w:rPr>
        <w:t xml:space="preserve"> domaine)</w:t>
      </w:r>
    </w:p>
    <w:p w:rsidRPr="00590FAE" w:rsidR="00590FAE" w:rsidP="006411C6" w:rsidRDefault="0067484E" w14:paraId="416F90D6" w14:textId="248D2311">
      <w:pPr>
        <w:spacing w:line="360" w:lineRule="auto"/>
        <w:jc w:val="both"/>
        <w:rPr>
          <w:rFonts w:asciiTheme="majorBidi" w:hAnsiTheme="majorBidi" w:cstheme="majorBidi"/>
          <w:b/>
          <w:bCs/>
          <w:sz w:val="24"/>
          <w:szCs w:val="24"/>
        </w:rPr>
      </w:pPr>
      <w:r w:rsidRPr="0067484E">
        <w:rPr>
          <w:rFonts w:asciiTheme="majorBidi" w:hAnsiTheme="majorBidi" w:cstheme="majorBidi"/>
          <w:b/>
          <w:bCs/>
          <w:sz w:val="24"/>
          <w:szCs w:val="24"/>
        </w:rPr>
        <w:t>Scénario d’approbation</w:t>
      </w:r>
      <w:r w:rsidRPr="00590FAE" w:rsidR="00590FAE">
        <w:rPr>
          <w:rFonts w:asciiTheme="majorBidi" w:hAnsiTheme="majorBidi" w:cstheme="majorBidi"/>
          <w:b/>
          <w:bCs/>
          <w:sz w:val="24"/>
          <w:szCs w:val="24"/>
        </w:rPr>
        <w:t xml:space="preserve"> :</w:t>
      </w:r>
    </w:p>
    <w:p w:rsidRPr="00590FAE" w:rsidR="00590FAE" w:rsidP="006411C6" w:rsidRDefault="00590FAE" w14:paraId="70143955" w14:textId="77777777">
      <w:pPr>
        <w:numPr>
          <w:ilvl w:val="0"/>
          <w:numId w:val="1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Désignation obligatoire du propriétaire du risque (MOSES) parmi une liste configurée par domaine ;</w:t>
      </w:r>
    </w:p>
    <w:p w:rsidRPr="00590FAE" w:rsidR="00590FAE" w:rsidP="006411C6" w:rsidRDefault="00590FAE" w14:paraId="52E858AE" w14:textId="77777777">
      <w:pPr>
        <w:numPr>
          <w:ilvl w:val="0"/>
          <w:numId w:val="1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Désignation obligatoire de l’homologue MCA (notifié de toutes les modifications) ;</w:t>
      </w:r>
    </w:p>
    <w:p w:rsidRPr="00590FAE" w:rsidR="00590FAE" w:rsidP="006411C6" w:rsidRDefault="00590FAE" w14:paraId="369EED25" w14:textId="77777777">
      <w:pPr>
        <w:numPr>
          <w:ilvl w:val="0"/>
          <w:numId w:val="1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lastRenderedPageBreak/>
        <w:t>Le risque passe en statut « Approuvé ».</w:t>
      </w:r>
    </w:p>
    <w:p w:rsidRPr="00590FAE" w:rsidR="00590FAE" w:rsidP="006411C6" w:rsidRDefault="0067484E" w14:paraId="09FC676E" w14:textId="62A235F5">
      <w:pPr>
        <w:spacing w:line="360" w:lineRule="auto"/>
        <w:jc w:val="both"/>
        <w:rPr>
          <w:rFonts w:asciiTheme="majorBidi" w:hAnsiTheme="majorBidi" w:cstheme="majorBidi"/>
          <w:b/>
          <w:bCs/>
          <w:sz w:val="24"/>
          <w:szCs w:val="24"/>
        </w:rPr>
      </w:pPr>
      <w:r w:rsidRPr="0067484E">
        <w:rPr>
          <w:rFonts w:asciiTheme="majorBidi" w:hAnsiTheme="majorBidi" w:cstheme="majorBidi"/>
          <w:b/>
          <w:bCs/>
          <w:sz w:val="24"/>
          <w:szCs w:val="24"/>
        </w:rPr>
        <w:t>Scénario</w:t>
      </w:r>
      <w:r w:rsidRPr="00590FAE">
        <w:rPr>
          <w:rFonts w:asciiTheme="majorBidi" w:hAnsiTheme="majorBidi" w:cstheme="majorBidi"/>
          <w:b/>
          <w:bCs/>
          <w:sz w:val="24"/>
          <w:szCs w:val="24"/>
        </w:rPr>
        <w:t xml:space="preserve"> </w:t>
      </w:r>
      <w:r>
        <w:rPr>
          <w:rFonts w:asciiTheme="majorBidi" w:hAnsiTheme="majorBidi" w:cstheme="majorBidi"/>
          <w:b/>
          <w:bCs/>
          <w:sz w:val="24"/>
          <w:szCs w:val="24"/>
        </w:rPr>
        <w:t xml:space="preserve">de </w:t>
      </w:r>
      <w:r w:rsidRPr="00590FAE" w:rsidR="00590FAE">
        <w:rPr>
          <w:rFonts w:asciiTheme="majorBidi" w:hAnsiTheme="majorBidi" w:cstheme="majorBidi"/>
          <w:b/>
          <w:bCs/>
          <w:sz w:val="24"/>
          <w:szCs w:val="24"/>
        </w:rPr>
        <w:t>rejet :</w:t>
      </w:r>
    </w:p>
    <w:p w:rsidRPr="00590FAE" w:rsidR="00590FAE" w:rsidP="006411C6" w:rsidRDefault="00590FAE" w14:paraId="3318A946" w14:textId="77777777">
      <w:pPr>
        <w:numPr>
          <w:ilvl w:val="0"/>
          <w:numId w:val="11"/>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Le risque passe en statut « Rejeté et archivé » ;</w:t>
      </w:r>
    </w:p>
    <w:p w:rsidRPr="00590FAE" w:rsidR="00590FAE" w:rsidP="006411C6" w:rsidRDefault="00590FAE" w14:paraId="5422B2C0" w14:textId="77777777">
      <w:pPr>
        <w:numPr>
          <w:ilvl w:val="0"/>
          <w:numId w:val="11"/>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Archivage automatique du risque.</w:t>
      </w:r>
    </w:p>
    <w:p w:rsidRPr="00590FAE" w:rsidR="00590FAE" w:rsidP="0067484E" w:rsidRDefault="00590FAE" w14:paraId="52306529" w14:textId="74D870E1">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Étape 3 : Analyse du risque</w:t>
      </w:r>
    </w:p>
    <w:p w:rsidRPr="00590FAE" w:rsidR="00590FAE" w:rsidP="006411C6" w:rsidRDefault="00590FAE" w14:paraId="25A5C7F0" w14:textId="77777777">
      <w:p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Acteur :</w:t>
      </w:r>
      <w:r w:rsidRPr="00590FAE">
        <w:rPr>
          <w:rFonts w:asciiTheme="majorBidi" w:hAnsiTheme="majorBidi" w:cstheme="majorBidi"/>
          <w:sz w:val="24"/>
          <w:szCs w:val="24"/>
        </w:rPr>
        <w:t xml:space="preserve"> Propriétaire du risque (MOSES)</w:t>
      </w:r>
    </w:p>
    <w:p w:rsidRPr="00590FAE" w:rsidR="00590FAE" w:rsidP="006411C6" w:rsidRDefault="00590FAE" w14:paraId="63F40732" w14:textId="2E7FBABD">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Le propriétaire, désigné par l’approbateur</w:t>
      </w:r>
      <w:r w:rsidR="00A073BB">
        <w:rPr>
          <w:rFonts w:asciiTheme="majorBidi" w:hAnsiTheme="majorBidi" w:cstheme="majorBidi"/>
          <w:sz w:val="24"/>
          <w:szCs w:val="24"/>
        </w:rPr>
        <w:t xml:space="preserve"> du risque</w:t>
      </w:r>
      <w:r w:rsidRPr="00590FAE">
        <w:rPr>
          <w:rFonts w:asciiTheme="majorBidi" w:hAnsiTheme="majorBidi" w:cstheme="majorBidi"/>
          <w:sz w:val="24"/>
          <w:szCs w:val="24"/>
        </w:rPr>
        <w:t xml:space="preserve">, peut modifier l’ensemble des données saisies antérieurement lors de la déclaration </w:t>
      </w:r>
      <w:r w:rsidR="00A073BB">
        <w:rPr>
          <w:rFonts w:asciiTheme="majorBidi" w:hAnsiTheme="majorBidi" w:cstheme="majorBidi"/>
          <w:sz w:val="24"/>
          <w:szCs w:val="24"/>
        </w:rPr>
        <w:t xml:space="preserve">par le déclarant </w:t>
      </w:r>
      <w:r w:rsidRPr="00590FAE">
        <w:rPr>
          <w:rFonts w:asciiTheme="majorBidi" w:hAnsiTheme="majorBidi" w:cstheme="majorBidi"/>
          <w:sz w:val="24"/>
          <w:szCs w:val="24"/>
        </w:rPr>
        <w:t xml:space="preserve">et aura la main pour renseigner les </w:t>
      </w:r>
      <w:r w:rsidR="00A073BB">
        <w:rPr>
          <w:rFonts w:asciiTheme="majorBidi" w:hAnsiTheme="majorBidi" w:cstheme="majorBidi"/>
          <w:sz w:val="24"/>
          <w:szCs w:val="24"/>
        </w:rPr>
        <w:t xml:space="preserve">données </w:t>
      </w:r>
      <w:r w:rsidRPr="00590FAE">
        <w:rPr>
          <w:rFonts w:asciiTheme="majorBidi" w:hAnsiTheme="majorBidi" w:cstheme="majorBidi"/>
          <w:sz w:val="24"/>
          <w:szCs w:val="24"/>
        </w:rPr>
        <w:t>suivant</w:t>
      </w:r>
      <w:r w:rsidR="00A073BB">
        <w:rPr>
          <w:rFonts w:asciiTheme="majorBidi" w:hAnsiTheme="majorBidi" w:cstheme="majorBidi"/>
          <w:sz w:val="24"/>
          <w:szCs w:val="24"/>
        </w:rPr>
        <w:t>e</w:t>
      </w:r>
      <w:r w:rsidRPr="00590FAE">
        <w:rPr>
          <w:rFonts w:asciiTheme="majorBidi" w:hAnsiTheme="majorBidi" w:cstheme="majorBidi"/>
          <w:sz w:val="24"/>
          <w:szCs w:val="24"/>
        </w:rPr>
        <w:t>s :</w:t>
      </w:r>
    </w:p>
    <w:p w:rsidRPr="00590FAE" w:rsidR="00590FAE" w:rsidP="09945018" w:rsidRDefault="00590FAE" w14:paraId="23C4EE2B" w14:textId="77777777">
      <w:pPr>
        <w:numPr>
          <w:ilvl w:val="0"/>
          <w:numId w:val="12"/>
        </w:numPr>
        <w:spacing w:line="360" w:lineRule="auto"/>
        <w:jc w:val="both"/>
        <w:rPr>
          <w:rFonts w:ascii="Times New Roman" w:hAnsi="Times New Roman" w:cs="Times New Roman" w:asciiTheme="majorBidi" w:hAnsiTheme="majorBidi" w:cstheme="majorBidi"/>
          <w:sz w:val="24"/>
          <w:szCs w:val="24"/>
        </w:rPr>
      </w:pPr>
      <w:commentRangeStart w:id="1251962103"/>
      <w:r w:rsidRPr="09945018" w:rsidR="09945018">
        <w:rPr>
          <w:rFonts w:ascii="Times New Roman" w:hAnsi="Times New Roman" w:cs="Times New Roman" w:asciiTheme="majorBidi" w:hAnsiTheme="majorBidi" w:cstheme="majorBidi"/>
          <w:sz w:val="24"/>
          <w:szCs w:val="24"/>
        </w:rPr>
        <w:t>Probabilité (score de 1 à 5)</w:t>
      </w:r>
      <w:commentRangeEnd w:id="1251962103"/>
      <w:r>
        <w:rPr>
          <w:rStyle w:val="CommentReference"/>
        </w:rPr>
        <w:commentReference w:id="1251962103"/>
      </w:r>
    </w:p>
    <w:p w:rsidRPr="00590FAE" w:rsidR="00590FAE" w:rsidP="006411C6" w:rsidRDefault="00590FAE" w14:paraId="54F1BBC4"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Impact financier (score de 1 à 5)</w:t>
      </w:r>
    </w:p>
    <w:p w:rsidRPr="00590FAE" w:rsidR="00590FAE" w:rsidP="006411C6" w:rsidRDefault="00590FAE" w14:paraId="58BD275E"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Impact sur l’échéancier (score de 1 à 5)</w:t>
      </w:r>
    </w:p>
    <w:p w:rsidRPr="00590FAE" w:rsidR="00590FAE" w:rsidP="006411C6" w:rsidRDefault="00590FAE" w14:paraId="6B9C20D4"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Impact sur la sécurité (score de 1 à 5)</w:t>
      </w:r>
    </w:p>
    <w:p w:rsidRPr="00590FAE" w:rsidR="00590FAE" w:rsidP="006411C6" w:rsidRDefault="00590FAE" w14:paraId="5FA4637E"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Impact sur l’environnement (score de 1 à 5)</w:t>
      </w:r>
    </w:p>
    <w:p w:rsidRPr="00590FAE" w:rsidR="00590FAE" w:rsidP="006411C6" w:rsidRDefault="00590FAE" w14:paraId="4089C9FE"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Impact sur l’inclusion sociale (score de 1 à 5)</w:t>
      </w:r>
    </w:p>
    <w:p w:rsidRPr="00590FAE" w:rsidR="00590FAE" w:rsidP="006411C6" w:rsidRDefault="00590FAE" w14:paraId="0116DA5D"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Impact sur la qualité (score de 1 à 5)</w:t>
      </w:r>
    </w:p>
    <w:p w:rsidRPr="00590FAE" w:rsidR="00590FAE" w:rsidP="006411C6" w:rsidRDefault="00590FAE" w14:paraId="64C3C107"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Impact (score calculé)</w:t>
      </w:r>
    </w:p>
    <w:p w:rsidRPr="00590FAE" w:rsidR="00590FAE" w:rsidP="006411C6" w:rsidRDefault="00590FAE" w14:paraId="44D11FEE"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Proximité dans le temps (score de 1 à 5)</w:t>
      </w:r>
    </w:p>
    <w:p w:rsidRPr="00590FAE" w:rsidR="00590FAE" w:rsidP="006411C6" w:rsidRDefault="00590FAE" w14:paraId="25C2D277"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Score du risque (score calculé)</w:t>
      </w:r>
    </w:p>
    <w:p w:rsidRPr="00590FAE" w:rsidR="00590FAE" w:rsidP="006411C6" w:rsidRDefault="00590FAE" w14:paraId="3E10F360"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Indice de risque (score calculé)</w:t>
      </w:r>
    </w:p>
    <w:p w:rsidRPr="00590FAE" w:rsidR="00590FAE" w:rsidP="006411C6" w:rsidRDefault="00590FAE" w14:paraId="2B55830B" w14:textId="77777777">
      <w:pPr>
        <w:numPr>
          <w:ilvl w:val="0"/>
          <w:numId w:val="12"/>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Document(s) attaché(s) (en cas de besoin)</w:t>
      </w:r>
    </w:p>
    <w:p w:rsidRPr="00590FAE" w:rsidR="00590FAE" w:rsidP="00A073BB" w:rsidRDefault="00590FAE" w14:paraId="0A90F652" w14:textId="114E327F">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Étape 4</w:t>
      </w:r>
      <w:r w:rsidR="00A073BB">
        <w:rPr>
          <w:rFonts w:asciiTheme="majorBidi" w:hAnsiTheme="majorBidi" w:cstheme="majorBidi"/>
          <w:b/>
          <w:bCs/>
          <w:sz w:val="24"/>
          <w:szCs w:val="24"/>
        </w:rPr>
        <w:t xml:space="preserve"> : </w:t>
      </w:r>
      <w:r w:rsidRPr="00590FAE">
        <w:rPr>
          <w:rFonts w:asciiTheme="majorBidi" w:hAnsiTheme="majorBidi" w:cstheme="majorBidi"/>
          <w:b/>
          <w:bCs/>
          <w:sz w:val="24"/>
          <w:szCs w:val="24"/>
        </w:rPr>
        <w:t xml:space="preserve"> Planification des mesures</w:t>
      </w:r>
    </w:p>
    <w:p w:rsidRPr="00590FAE" w:rsidR="00590FAE" w:rsidP="006411C6" w:rsidRDefault="00590FAE" w14:paraId="7646598A" w14:textId="77777777">
      <w:p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Acteur :</w:t>
      </w:r>
      <w:r w:rsidRPr="00590FAE">
        <w:rPr>
          <w:rFonts w:asciiTheme="majorBidi" w:hAnsiTheme="majorBidi" w:cstheme="majorBidi"/>
          <w:sz w:val="24"/>
          <w:szCs w:val="24"/>
        </w:rPr>
        <w:t xml:space="preserve"> Propriétaire du risque</w:t>
      </w:r>
    </w:p>
    <w:p w:rsidRPr="00590FAE" w:rsidR="00590FAE" w:rsidP="006411C6" w:rsidRDefault="00590FAE" w14:paraId="03E5F45A"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Après avoir analysé le risque, le propriétaire du risque passe à l’étape de planification d’une ou plusieurs mesures.</w:t>
      </w:r>
    </w:p>
    <w:p w:rsidRPr="00590FAE" w:rsidR="00590FAE" w:rsidP="006411C6" w:rsidRDefault="00A073BB" w14:paraId="27DBE5DB" w14:textId="0B983EB1">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Une fois désigné, et une fois que le risque est analysé par les responsables approprié MCA et MOSES, le propriétaire du risque, renseigne les</w:t>
      </w:r>
      <w:r w:rsidRPr="00590FAE" w:rsidR="00590FAE">
        <w:rPr>
          <w:rFonts w:asciiTheme="majorBidi" w:hAnsiTheme="majorBidi" w:cstheme="majorBidi"/>
          <w:sz w:val="24"/>
          <w:szCs w:val="24"/>
        </w:rPr>
        <w:t xml:space="preserve"> champs suivants :</w:t>
      </w:r>
    </w:p>
    <w:p w:rsidRPr="00590FAE" w:rsidR="00590FAE" w:rsidP="006411C6" w:rsidRDefault="00590FAE" w14:paraId="3A0DCF23"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Intitulé de la mesure</w:t>
      </w:r>
    </w:p>
    <w:p w:rsidRPr="00590FAE" w:rsidR="00590FAE" w:rsidP="006411C6" w:rsidRDefault="00590FAE" w14:paraId="3ED03D9E"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Description de la mesure</w:t>
      </w:r>
    </w:p>
    <w:p w:rsidRPr="00590FAE" w:rsidR="00590FAE" w:rsidP="006411C6" w:rsidRDefault="00590FAE" w14:paraId="55D8B050"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Début planifié</w:t>
      </w:r>
    </w:p>
    <w:p w:rsidRPr="00590FAE" w:rsidR="00590FAE" w:rsidP="006411C6" w:rsidRDefault="00590FAE" w14:paraId="74F0C5B3"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Fin planifiée</w:t>
      </w:r>
    </w:p>
    <w:p w:rsidRPr="00590FAE" w:rsidR="00590FAE" w:rsidP="006411C6" w:rsidRDefault="00590FAE" w14:paraId="53DD5FA8"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Coût planifié (si applicable)</w:t>
      </w:r>
    </w:p>
    <w:p w:rsidRPr="00590FAE" w:rsidR="00590FAE" w:rsidP="006411C6" w:rsidRDefault="00590FAE" w14:paraId="6EABA524"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Devise</w:t>
      </w:r>
    </w:p>
    <w:p w:rsidRPr="00590FAE" w:rsidR="00590FAE" w:rsidP="006411C6" w:rsidRDefault="00590FAE" w14:paraId="49EB529C"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Commentaires (à propos de la mise en œuvre de la mesure)</w:t>
      </w:r>
    </w:p>
    <w:p w:rsidRPr="00590FAE" w:rsidR="00590FAE" w:rsidP="006411C6" w:rsidRDefault="00590FAE" w14:paraId="63CD0050"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Responsable d’exécution désigné</w:t>
      </w:r>
    </w:p>
    <w:p w:rsidRPr="00590FAE" w:rsidR="00590FAE" w:rsidP="006411C6" w:rsidRDefault="00590FAE" w14:paraId="4A91EE81" w14:textId="77777777">
      <w:pPr>
        <w:numPr>
          <w:ilvl w:val="0"/>
          <w:numId w:val="13"/>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Document(s) attaché(s) (s’il y en a)</w:t>
      </w:r>
    </w:p>
    <w:p w:rsidRPr="00590FAE" w:rsidR="00590FAE" w:rsidP="00A073BB" w:rsidRDefault="00590FAE" w14:paraId="5B77A4DA" w14:textId="25768229">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Étape 5</w:t>
      </w:r>
      <w:r w:rsidR="00A073BB">
        <w:rPr>
          <w:rFonts w:asciiTheme="majorBidi" w:hAnsiTheme="majorBidi" w:cstheme="majorBidi"/>
          <w:b/>
          <w:bCs/>
          <w:sz w:val="24"/>
          <w:szCs w:val="24"/>
        </w:rPr>
        <w:t xml:space="preserve"> : </w:t>
      </w:r>
      <w:r w:rsidRPr="00590FAE">
        <w:rPr>
          <w:rFonts w:asciiTheme="majorBidi" w:hAnsiTheme="majorBidi" w:cstheme="majorBidi"/>
          <w:b/>
          <w:bCs/>
          <w:sz w:val="24"/>
          <w:szCs w:val="24"/>
        </w:rPr>
        <w:t>Suivi de la mise en œuvre des mesures</w:t>
      </w:r>
    </w:p>
    <w:p w:rsidRPr="00590FAE" w:rsidR="00590FAE" w:rsidP="006411C6" w:rsidRDefault="00590FAE" w14:paraId="17FC1ECE" w14:textId="77777777">
      <w:p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Acteur :</w:t>
      </w:r>
      <w:r w:rsidRPr="00590FAE">
        <w:rPr>
          <w:rFonts w:asciiTheme="majorBidi" w:hAnsiTheme="majorBidi" w:cstheme="majorBidi"/>
          <w:sz w:val="24"/>
          <w:szCs w:val="24"/>
        </w:rPr>
        <w:t xml:space="preserve"> Propriétaire du risque</w:t>
      </w:r>
    </w:p>
    <w:p w:rsidRPr="00590FAE" w:rsidR="00590FAE" w:rsidP="006411C6" w:rsidRDefault="00590FAE" w14:paraId="3E3695FC" w14:textId="3C594AF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 xml:space="preserve">Une fois </w:t>
      </w:r>
      <w:r w:rsidR="0062675D">
        <w:rPr>
          <w:rFonts w:asciiTheme="majorBidi" w:hAnsiTheme="majorBidi" w:cstheme="majorBidi"/>
          <w:sz w:val="24"/>
          <w:szCs w:val="24"/>
        </w:rPr>
        <w:t xml:space="preserve">que des </w:t>
      </w:r>
      <w:r w:rsidRPr="00590FAE">
        <w:rPr>
          <w:rFonts w:asciiTheme="majorBidi" w:hAnsiTheme="majorBidi" w:cstheme="majorBidi"/>
          <w:sz w:val="24"/>
          <w:szCs w:val="24"/>
        </w:rPr>
        <w:t xml:space="preserve">mesures </w:t>
      </w:r>
      <w:r w:rsidR="0062675D">
        <w:rPr>
          <w:rFonts w:asciiTheme="majorBidi" w:hAnsiTheme="majorBidi" w:cstheme="majorBidi"/>
          <w:sz w:val="24"/>
          <w:szCs w:val="24"/>
        </w:rPr>
        <w:t xml:space="preserve">sont </w:t>
      </w:r>
      <w:r w:rsidRPr="00590FAE">
        <w:rPr>
          <w:rFonts w:asciiTheme="majorBidi" w:hAnsiTheme="majorBidi" w:cstheme="majorBidi"/>
          <w:sz w:val="24"/>
          <w:szCs w:val="24"/>
        </w:rPr>
        <w:t>planifiées, le propriétaire du risque utilise le module pour assurer le suivi de leur implémentation.</w:t>
      </w:r>
    </w:p>
    <w:p w:rsidRPr="00590FAE" w:rsidR="00590FAE" w:rsidP="006411C6" w:rsidRDefault="00590FAE" w14:paraId="4F24B385" w14:textId="593309F0">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Pour chaque mesure, le propriétaire du risque renseigne</w:t>
      </w:r>
      <w:r w:rsidR="0062675D">
        <w:rPr>
          <w:rFonts w:asciiTheme="majorBidi" w:hAnsiTheme="majorBidi" w:cstheme="majorBidi"/>
          <w:sz w:val="24"/>
          <w:szCs w:val="24"/>
        </w:rPr>
        <w:t xml:space="preserve"> les données suivantes</w:t>
      </w:r>
      <w:r w:rsidRPr="00590FAE">
        <w:rPr>
          <w:rFonts w:asciiTheme="majorBidi" w:hAnsiTheme="majorBidi" w:cstheme="majorBidi"/>
          <w:sz w:val="24"/>
          <w:szCs w:val="24"/>
        </w:rPr>
        <w:t xml:space="preserve"> :</w:t>
      </w:r>
    </w:p>
    <w:p w:rsidRPr="00590FAE" w:rsidR="00590FAE" w:rsidP="0054036D" w:rsidRDefault="00590FAE" w14:paraId="4E07E063" w14:textId="77777777">
      <w:pPr>
        <w:numPr>
          <w:ilvl w:val="0"/>
          <w:numId w:val="14"/>
        </w:numPr>
        <w:spacing w:line="360" w:lineRule="auto"/>
        <w:jc w:val="both"/>
        <w:rPr>
          <w:rFonts w:ascii="Times New Roman" w:hAnsi="Times New Roman" w:cs="Times New Roman" w:asciiTheme="majorBidi" w:hAnsiTheme="majorBidi" w:cstheme="majorBidi"/>
          <w:sz w:val="24"/>
          <w:szCs w:val="24"/>
        </w:rPr>
      </w:pPr>
      <w:commentRangeStart w:id="1284233896"/>
      <w:r w:rsidRPr="0054036D" w:rsidR="0054036D">
        <w:rPr>
          <w:rFonts w:ascii="Times New Roman" w:hAnsi="Times New Roman" w:cs="Times New Roman" w:asciiTheme="majorBidi" w:hAnsiTheme="majorBidi" w:cstheme="majorBidi"/>
          <w:sz w:val="24"/>
          <w:szCs w:val="24"/>
        </w:rPr>
        <w:t>Début réel</w:t>
      </w:r>
    </w:p>
    <w:p w:rsidRPr="00590FAE" w:rsidR="00590FAE" w:rsidP="006411C6" w:rsidRDefault="00590FAE" w14:paraId="1F382576" w14:textId="77777777">
      <w:pPr>
        <w:numPr>
          <w:ilvl w:val="0"/>
          <w:numId w:val="14"/>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Fin réelle (si la mesure est implémentée)</w:t>
      </w:r>
    </w:p>
    <w:p w:rsidRPr="00590FAE" w:rsidR="00590FAE" w:rsidP="006411C6" w:rsidRDefault="00590FAE" w14:paraId="4801DE22" w14:textId="77777777">
      <w:pPr>
        <w:numPr>
          <w:ilvl w:val="0"/>
          <w:numId w:val="14"/>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 d’avancement</w:t>
      </w:r>
    </w:p>
    <w:p w:rsidRPr="00590FAE" w:rsidR="00590FAE" w:rsidP="006411C6" w:rsidRDefault="00590FAE" w14:paraId="0AB39605" w14:textId="77777777">
      <w:pPr>
        <w:numPr>
          <w:ilvl w:val="0"/>
          <w:numId w:val="14"/>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Commentaires</w:t>
      </w:r>
    </w:p>
    <w:p w:rsidRPr="00590FAE" w:rsidR="00590FAE" w:rsidP="0054036D" w:rsidRDefault="00590FAE" w14:paraId="268F053A" w14:textId="77777777">
      <w:pPr>
        <w:numPr>
          <w:ilvl w:val="0"/>
          <w:numId w:val="14"/>
        </w:numPr>
        <w:spacing w:line="360" w:lineRule="auto"/>
        <w:jc w:val="both"/>
        <w:rPr>
          <w:rFonts w:ascii="Times New Roman" w:hAnsi="Times New Roman" w:cs="Times New Roman" w:asciiTheme="majorBidi" w:hAnsiTheme="majorBidi" w:cstheme="majorBidi"/>
          <w:sz w:val="24"/>
          <w:szCs w:val="24"/>
        </w:rPr>
      </w:pPr>
      <w:r w:rsidRPr="0054036D" w:rsidR="0054036D">
        <w:rPr>
          <w:rFonts w:ascii="Times New Roman" w:hAnsi="Times New Roman" w:cs="Times New Roman" w:asciiTheme="majorBidi" w:hAnsiTheme="majorBidi" w:cstheme="majorBidi"/>
          <w:sz w:val="24"/>
          <w:szCs w:val="24"/>
        </w:rPr>
        <w:t>Document(s) attaché(s) (justificatifs d’avancement)</w:t>
      </w:r>
      <w:commentRangeEnd w:id="1284233896"/>
      <w:r>
        <w:rPr>
          <w:rStyle w:val="CommentReference"/>
        </w:rPr>
        <w:commentReference w:id="1284233896"/>
      </w:r>
    </w:p>
    <w:p w:rsidRPr="00590FAE" w:rsidR="00590FAE" w:rsidP="0062675D" w:rsidRDefault="00590FAE" w14:paraId="57C83984" w14:textId="582532DE">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Étape 6</w:t>
      </w:r>
      <w:r w:rsidR="0062675D">
        <w:rPr>
          <w:rFonts w:asciiTheme="majorBidi" w:hAnsiTheme="majorBidi" w:cstheme="majorBidi"/>
          <w:b/>
          <w:bCs/>
          <w:sz w:val="24"/>
          <w:szCs w:val="24"/>
        </w:rPr>
        <w:t xml:space="preserve"> : </w:t>
      </w:r>
      <w:r w:rsidRPr="00590FAE">
        <w:rPr>
          <w:rFonts w:asciiTheme="majorBidi" w:hAnsiTheme="majorBidi" w:cstheme="majorBidi"/>
          <w:b/>
          <w:bCs/>
          <w:sz w:val="24"/>
          <w:szCs w:val="24"/>
        </w:rPr>
        <w:t>Clôture du risque</w:t>
      </w:r>
    </w:p>
    <w:p w:rsidRPr="00590FAE" w:rsidR="00590FAE" w:rsidP="006411C6" w:rsidRDefault="00590FAE" w14:paraId="375366AE" w14:textId="77777777">
      <w:p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Acteur :</w:t>
      </w:r>
      <w:r w:rsidRPr="00590FAE">
        <w:rPr>
          <w:rFonts w:asciiTheme="majorBidi" w:hAnsiTheme="majorBidi" w:cstheme="majorBidi"/>
          <w:sz w:val="24"/>
          <w:szCs w:val="24"/>
        </w:rPr>
        <w:t xml:space="preserve"> Propriétaire du risque</w:t>
      </w:r>
    </w:p>
    <w:p w:rsidRPr="00590FAE" w:rsidR="00590FAE" w:rsidP="006411C6" w:rsidRDefault="00590FAE" w14:paraId="1596E001"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Une fois que toutes les mesures sont implémentées et que le risque n’est plus pertinent, le propriétaire du risque, après coordination avec le responsable des risques du domaine, peut procéder à la clôture du risque.</w:t>
      </w:r>
    </w:p>
    <w:p w:rsidRPr="00590FAE" w:rsidR="00590FAE" w:rsidP="006411C6" w:rsidRDefault="00590FAE" w14:paraId="581C4214" w14:textId="77777777">
      <w:pPr>
        <w:spacing w:line="360" w:lineRule="auto"/>
        <w:jc w:val="both"/>
        <w:rPr>
          <w:rFonts w:asciiTheme="majorBidi" w:hAnsiTheme="majorBidi" w:cstheme="majorBidi"/>
          <w:b/>
          <w:bCs/>
          <w:sz w:val="24"/>
          <w:szCs w:val="24"/>
        </w:rPr>
      </w:pPr>
      <w:r w:rsidRPr="00590FAE">
        <w:rPr>
          <w:rFonts w:asciiTheme="majorBidi" w:hAnsiTheme="majorBidi" w:cstheme="majorBidi"/>
          <w:b/>
          <w:bCs/>
          <w:sz w:val="24"/>
          <w:szCs w:val="24"/>
        </w:rPr>
        <w:lastRenderedPageBreak/>
        <w:t>Actions :</w:t>
      </w:r>
    </w:p>
    <w:p w:rsidRPr="00590FAE" w:rsidR="00590FAE" w:rsidP="006411C6" w:rsidRDefault="00590FAE" w14:paraId="4F1FF08D" w14:textId="77777777">
      <w:pPr>
        <w:numPr>
          <w:ilvl w:val="0"/>
          <w:numId w:val="1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Saisie d’un commentaire de clôture contenant les leçons apprises jugées pertinentes par l’équipe GDR ;</w:t>
      </w:r>
    </w:p>
    <w:p w:rsidRPr="00590FAE" w:rsidR="00590FAE" w:rsidP="006411C6" w:rsidRDefault="00590FAE" w14:paraId="175C31A8" w14:textId="77777777">
      <w:pPr>
        <w:numPr>
          <w:ilvl w:val="0"/>
          <w:numId w:val="15"/>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Confirmation de la clôture.</w:t>
      </w:r>
    </w:p>
    <w:p w:rsidRPr="00590FAE" w:rsidR="00590FAE" w:rsidP="0062675D" w:rsidRDefault="00590FAE" w14:paraId="46E9CB1B" w14:textId="5FF9573D">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Étape 7</w:t>
      </w:r>
      <w:r w:rsidR="0062675D">
        <w:rPr>
          <w:rFonts w:asciiTheme="majorBidi" w:hAnsiTheme="majorBidi" w:cstheme="majorBidi"/>
          <w:b/>
          <w:bCs/>
          <w:sz w:val="24"/>
          <w:szCs w:val="24"/>
        </w:rPr>
        <w:t xml:space="preserve"> : </w:t>
      </w:r>
      <w:r w:rsidRPr="00590FAE">
        <w:rPr>
          <w:rFonts w:asciiTheme="majorBidi" w:hAnsiTheme="majorBidi" w:cstheme="majorBidi"/>
          <w:b/>
          <w:bCs/>
          <w:sz w:val="24"/>
          <w:szCs w:val="24"/>
        </w:rPr>
        <w:t>Archivage automatique</w:t>
      </w:r>
    </w:p>
    <w:p w:rsidRPr="00590FAE" w:rsidR="00590FAE" w:rsidP="006411C6" w:rsidRDefault="00590FAE" w14:paraId="122192D1"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Une fois le risque clôturé, il est archivé dans les 30 jours qui suivent la date de clôture.</w:t>
      </w:r>
    </w:p>
    <w:p w:rsidRPr="00590FAE" w:rsidR="00590FAE" w:rsidP="0062675D" w:rsidRDefault="0062675D" w14:paraId="2D0A24C2" w14:textId="0C937DCE">
      <w:pPr>
        <w:numPr>
          <w:ilvl w:val="0"/>
          <w:numId w:val="2"/>
        </w:numPr>
        <w:tabs>
          <w:tab w:val="num" w:pos="720"/>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T</w:t>
      </w:r>
      <w:r w:rsidRPr="00590FAE" w:rsidR="00590FAE">
        <w:rPr>
          <w:rFonts w:asciiTheme="majorBidi" w:hAnsiTheme="majorBidi" w:cstheme="majorBidi"/>
          <w:b/>
          <w:bCs/>
          <w:sz w:val="24"/>
          <w:szCs w:val="24"/>
        </w:rPr>
        <w:t>ableaux de bord</w:t>
      </w:r>
    </w:p>
    <w:p w:rsidRPr="00590FAE" w:rsidR="00590FAE" w:rsidP="006411C6" w:rsidRDefault="00590FAE" w14:paraId="7930EF3B" w14:textId="7367F17A">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Le module intègre deux niveaux de tableaux de bord :</w:t>
      </w:r>
      <w:r w:rsidR="0062675D">
        <w:rPr>
          <w:rFonts w:asciiTheme="majorBidi" w:hAnsiTheme="majorBidi" w:cstheme="majorBidi"/>
          <w:sz w:val="24"/>
          <w:szCs w:val="24"/>
        </w:rPr>
        <w:t xml:space="preserve"> un premier t</w:t>
      </w:r>
      <w:r w:rsidRPr="00590FAE" w:rsidR="0062675D">
        <w:rPr>
          <w:rFonts w:asciiTheme="majorBidi" w:hAnsiTheme="majorBidi" w:cstheme="majorBidi"/>
          <w:sz w:val="24"/>
          <w:szCs w:val="24"/>
        </w:rPr>
        <w:t>ableau de bord opérationnel</w:t>
      </w:r>
      <w:r w:rsidR="0062675D">
        <w:rPr>
          <w:rFonts w:asciiTheme="majorBidi" w:hAnsiTheme="majorBidi" w:cstheme="majorBidi"/>
          <w:sz w:val="24"/>
          <w:szCs w:val="24"/>
        </w:rPr>
        <w:t xml:space="preserve"> et un deuxième </w:t>
      </w:r>
      <w:r w:rsidR="0062675D">
        <w:rPr>
          <w:rFonts w:asciiTheme="majorBidi" w:hAnsiTheme="majorBidi" w:cstheme="majorBidi"/>
          <w:sz w:val="24"/>
          <w:szCs w:val="24"/>
        </w:rPr>
        <w:t>t</w:t>
      </w:r>
      <w:r w:rsidRPr="00590FAE" w:rsidR="0062675D">
        <w:rPr>
          <w:rFonts w:asciiTheme="majorBidi" w:hAnsiTheme="majorBidi" w:cstheme="majorBidi"/>
          <w:sz w:val="24"/>
          <w:szCs w:val="24"/>
        </w:rPr>
        <w:t>ableau de bord</w:t>
      </w:r>
      <w:r w:rsidR="0062675D">
        <w:rPr>
          <w:rFonts w:asciiTheme="majorBidi" w:hAnsiTheme="majorBidi" w:cstheme="majorBidi"/>
          <w:sz w:val="24"/>
          <w:szCs w:val="24"/>
        </w:rPr>
        <w:t xml:space="preserve"> exécutif. </w:t>
      </w:r>
    </w:p>
    <w:p w:rsidRPr="00590FAE" w:rsidR="00590FAE" w:rsidP="0062675D" w:rsidRDefault="00590FAE" w14:paraId="65569295" w14:textId="7880840D">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Tableau de bord opérationnel</w:t>
      </w:r>
    </w:p>
    <w:p w:rsidRPr="00590FAE" w:rsidR="00590FAE" w:rsidP="006411C6" w:rsidRDefault="0062675D" w14:paraId="45424A8D" w14:textId="3CBE11F1">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tableau </w:t>
      </w:r>
      <w:r w:rsidRPr="00590FAE" w:rsidR="0046530C">
        <w:rPr>
          <w:rFonts w:asciiTheme="majorBidi" w:hAnsiTheme="majorBidi" w:cstheme="majorBidi"/>
          <w:sz w:val="24"/>
          <w:szCs w:val="24"/>
        </w:rPr>
        <w:t>bord opérationnel</w:t>
      </w:r>
      <w:r w:rsidR="0046530C">
        <w:rPr>
          <w:rFonts w:asciiTheme="majorBidi" w:hAnsiTheme="majorBidi" w:cstheme="majorBidi"/>
          <w:sz w:val="24"/>
          <w:szCs w:val="24"/>
        </w:rPr>
        <w:t xml:space="preserve"> </w:t>
      </w:r>
      <w:r w:rsidR="0046530C">
        <w:rPr>
          <w:rFonts w:asciiTheme="majorBidi" w:hAnsiTheme="majorBidi" w:cstheme="majorBidi"/>
          <w:sz w:val="24"/>
          <w:szCs w:val="24"/>
        </w:rPr>
        <w:t>vise à o</w:t>
      </w:r>
      <w:r w:rsidRPr="00590FAE" w:rsidR="00590FAE">
        <w:rPr>
          <w:rFonts w:asciiTheme="majorBidi" w:hAnsiTheme="majorBidi" w:cstheme="majorBidi"/>
          <w:sz w:val="24"/>
          <w:szCs w:val="24"/>
        </w:rPr>
        <w:t xml:space="preserve">ffrir aux équipes GDR, aux propriétaires de risques et aux responsables de suivi une vue synthétique et dynamique de l’exposition du programme et de ses contrats aux risques, à travers des indicateurs clés et des filtres </w:t>
      </w:r>
      <w:r w:rsidR="0046530C">
        <w:rPr>
          <w:rFonts w:asciiTheme="majorBidi" w:hAnsiTheme="majorBidi" w:cstheme="majorBidi"/>
          <w:sz w:val="24"/>
          <w:szCs w:val="24"/>
        </w:rPr>
        <w:t>pertinent</w:t>
      </w:r>
      <w:r w:rsidRPr="00590FAE" w:rsidR="00590FAE">
        <w:rPr>
          <w:rFonts w:asciiTheme="majorBidi" w:hAnsiTheme="majorBidi" w:cstheme="majorBidi"/>
          <w:sz w:val="24"/>
          <w:szCs w:val="24"/>
        </w:rPr>
        <w:t>.</w:t>
      </w:r>
    </w:p>
    <w:p w:rsidR="0046530C" w:rsidP="0046530C" w:rsidRDefault="0046530C" w14:paraId="13DAC744" w14:textId="420C33DE">
      <w:pPr>
        <w:tabs>
          <w:tab w:val="num" w:pos="72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Les indicateurs retenus à implémenter dans ce premier tableau de bord sont : </w:t>
      </w:r>
    </w:p>
    <w:p w:rsidRPr="00590FAE" w:rsidR="00590FAE" w:rsidP="0046530C" w:rsidRDefault="0046530C" w14:paraId="08632B7B" w14:textId="0280013F">
      <w:pPr>
        <w:numPr>
          <w:ilvl w:val="0"/>
          <w:numId w:val="17"/>
        </w:numPr>
        <w:spacing w:line="360" w:lineRule="auto"/>
        <w:jc w:val="both"/>
        <w:rPr>
          <w:rFonts w:asciiTheme="majorBidi" w:hAnsiTheme="majorBidi" w:cstheme="majorBidi"/>
          <w:sz w:val="24"/>
          <w:szCs w:val="24"/>
        </w:rPr>
      </w:pPr>
      <w:r w:rsidRPr="0046530C">
        <w:rPr>
          <w:rFonts w:asciiTheme="majorBidi" w:hAnsiTheme="majorBidi" w:cstheme="majorBidi"/>
          <w:b/>
          <w:bCs/>
          <w:sz w:val="24"/>
          <w:szCs w:val="24"/>
        </w:rPr>
        <w:t xml:space="preserve"># </w:t>
      </w:r>
      <w:r w:rsidRPr="00590FAE" w:rsidR="00590FAE">
        <w:rPr>
          <w:rFonts w:asciiTheme="majorBidi" w:hAnsiTheme="majorBidi" w:cstheme="majorBidi"/>
          <w:b/>
          <w:bCs/>
          <w:sz w:val="24"/>
          <w:szCs w:val="24"/>
        </w:rPr>
        <w:t>Total de risques :</w:t>
      </w:r>
      <w:r w:rsidRPr="00590FAE" w:rsidR="00590FAE">
        <w:rPr>
          <w:rFonts w:asciiTheme="majorBidi" w:hAnsiTheme="majorBidi" w:cstheme="majorBidi"/>
          <w:sz w:val="24"/>
          <w:szCs w:val="24"/>
        </w:rPr>
        <w:t xml:space="preserve"> nombre global de risques enregistrés dans le module ;</w:t>
      </w:r>
    </w:p>
    <w:p w:rsidRPr="00590FAE" w:rsidR="00590FAE" w:rsidP="006411C6" w:rsidRDefault="00590FAE" w14:paraId="5F87C5BA" w14:textId="77777777">
      <w:pPr>
        <w:numPr>
          <w:ilvl w:val="0"/>
          <w:numId w:val="17"/>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de risques couverts par un plan de traitement :</w:t>
      </w:r>
      <w:r w:rsidRPr="00590FAE">
        <w:rPr>
          <w:rFonts w:asciiTheme="majorBidi" w:hAnsiTheme="majorBidi" w:cstheme="majorBidi"/>
          <w:sz w:val="24"/>
          <w:szCs w:val="24"/>
        </w:rPr>
        <w:t xml:space="preserve"> proportion de risques disposant d’au moins une mesure planifiée ;</w:t>
      </w:r>
    </w:p>
    <w:p w:rsidRPr="00590FAE" w:rsidR="00590FAE" w:rsidP="006411C6" w:rsidRDefault="00590FAE" w14:paraId="76B96BAD" w14:textId="77777777">
      <w:pPr>
        <w:numPr>
          <w:ilvl w:val="0"/>
          <w:numId w:val="17"/>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de nouveaux risques :</w:t>
      </w:r>
      <w:r w:rsidRPr="00590FAE">
        <w:rPr>
          <w:rFonts w:asciiTheme="majorBidi" w:hAnsiTheme="majorBidi" w:cstheme="majorBidi"/>
          <w:sz w:val="24"/>
          <w:szCs w:val="24"/>
        </w:rPr>
        <w:t xml:space="preserve"> part des risques déclarés sur une période donnée ;</w:t>
      </w:r>
    </w:p>
    <w:p w:rsidRPr="00590FAE" w:rsidR="00590FAE" w:rsidP="006411C6" w:rsidRDefault="00590FAE" w14:paraId="4264B665" w14:textId="77777777">
      <w:pPr>
        <w:numPr>
          <w:ilvl w:val="0"/>
          <w:numId w:val="17"/>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de plans d’actions exécutés :</w:t>
      </w:r>
      <w:r w:rsidRPr="00590FAE">
        <w:rPr>
          <w:rFonts w:asciiTheme="majorBidi" w:hAnsiTheme="majorBidi" w:cstheme="majorBidi"/>
          <w:sz w:val="24"/>
          <w:szCs w:val="24"/>
        </w:rPr>
        <w:t xml:space="preserve"> taux de réalisation des mesures d’atténuation (mesures implémentées / mesures planifiées) ;</w:t>
      </w:r>
    </w:p>
    <w:p w:rsidRPr="00590FAE" w:rsidR="00590FAE" w:rsidP="006411C6" w:rsidRDefault="00590FAE" w14:paraId="2CB625EC" w14:textId="77777777">
      <w:pPr>
        <w:numPr>
          <w:ilvl w:val="0"/>
          <w:numId w:val="17"/>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de risques réévalués après action :</w:t>
      </w:r>
      <w:r w:rsidRPr="00590FAE">
        <w:rPr>
          <w:rFonts w:asciiTheme="majorBidi" w:hAnsiTheme="majorBidi" w:cstheme="majorBidi"/>
          <w:sz w:val="24"/>
          <w:szCs w:val="24"/>
        </w:rPr>
        <w:t xml:space="preserve"> proportion de risques ayant fait l’objet d’une réévaluation (probabilité, impact, proximité) après mise en œuvre des mesures ;</w:t>
      </w:r>
    </w:p>
    <w:p w:rsidRPr="00590FAE" w:rsidR="00590FAE" w:rsidP="006411C6" w:rsidRDefault="00590FAE" w14:paraId="62D9916B" w14:textId="77777777">
      <w:pPr>
        <w:numPr>
          <w:ilvl w:val="0"/>
          <w:numId w:val="17"/>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de plans d’actions en cours :</w:t>
      </w:r>
      <w:r w:rsidRPr="00590FAE">
        <w:rPr>
          <w:rFonts w:asciiTheme="majorBidi" w:hAnsiTheme="majorBidi" w:cstheme="majorBidi"/>
          <w:sz w:val="24"/>
          <w:szCs w:val="24"/>
        </w:rPr>
        <w:t xml:space="preserve"> part des mesures en cours d’exécution.</w:t>
      </w:r>
    </w:p>
    <w:p w:rsidRPr="00590FAE" w:rsidR="00590FAE" w:rsidP="006411C6" w:rsidRDefault="00590FAE" w14:paraId="4FACA909"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Le tableau de bord opérationnel dispose également de graphiques interactifs, qui peuvent être filtrés selon les critères suivants :</w:t>
      </w:r>
    </w:p>
    <w:p w:rsidRPr="00590FAE" w:rsidR="00590FAE" w:rsidP="006411C6" w:rsidRDefault="00590FAE" w14:paraId="2DDD9F14" w14:textId="77777777">
      <w:pPr>
        <w:numPr>
          <w:ilvl w:val="0"/>
          <w:numId w:val="1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Statut</w:t>
      </w:r>
    </w:p>
    <w:p w:rsidRPr="00590FAE" w:rsidR="00590FAE" w:rsidP="006411C6" w:rsidRDefault="00590FAE" w14:paraId="2A2C8FD1" w14:textId="77777777">
      <w:pPr>
        <w:numPr>
          <w:ilvl w:val="0"/>
          <w:numId w:val="1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Domaine</w:t>
      </w:r>
    </w:p>
    <w:p w:rsidRPr="00590FAE" w:rsidR="00590FAE" w:rsidP="006411C6" w:rsidRDefault="00590FAE" w14:paraId="0A961EB2" w14:textId="77777777">
      <w:pPr>
        <w:numPr>
          <w:ilvl w:val="0"/>
          <w:numId w:val="1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lastRenderedPageBreak/>
        <w:t>Projet</w:t>
      </w:r>
    </w:p>
    <w:p w:rsidRPr="00590FAE" w:rsidR="00590FAE" w:rsidP="006411C6" w:rsidRDefault="00590FAE" w14:paraId="3C243701" w14:textId="77777777">
      <w:pPr>
        <w:numPr>
          <w:ilvl w:val="0"/>
          <w:numId w:val="1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Catégorie</w:t>
      </w:r>
    </w:p>
    <w:p w:rsidRPr="00590FAE" w:rsidR="00590FAE" w:rsidP="006411C6" w:rsidRDefault="00590FAE" w14:paraId="545EFEDF" w14:textId="77777777">
      <w:pPr>
        <w:numPr>
          <w:ilvl w:val="0"/>
          <w:numId w:val="18"/>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Contrat</w:t>
      </w:r>
    </w:p>
    <w:p w:rsidRPr="00590FAE" w:rsidR="00590FAE" w:rsidP="0046530C" w:rsidRDefault="00590FAE" w14:paraId="5B64A539" w14:textId="0AAB3C41">
      <w:pPr>
        <w:pStyle w:val="Paragraphedeliste"/>
        <w:numPr>
          <w:ilvl w:val="1"/>
          <w:numId w:val="2"/>
        </w:numPr>
        <w:tabs>
          <w:tab w:val="left" w:pos="709"/>
          <w:tab w:val="left" w:pos="851"/>
        </w:tabs>
        <w:spacing w:line="360" w:lineRule="auto"/>
        <w:ind w:left="0" w:firstLine="284"/>
        <w:rPr>
          <w:rFonts w:asciiTheme="majorBidi" w:hAnsiTheme="majorBidi" w:cstheme="majorBidi"/>
          <w:b/>
          <w:bCs/>
          <w:sz w:val="24"/>
          <w:szCs w:val="24"/>
        </w:rPr>
      </w:pPr>
      <w:r w:rsidRPr="00590FAE">
        <w:rPr>
          <w:rFonts w:asciiTheme="majorBidi" w:hAnsiTheme="majorBidi" w:cstheme="majorBidi"/>
          <w:b/>
          <w:bCs/>
          <w:sz w:val="24"/>
          <w:szCs w:val="24"/>
        </w:rPr>
        <w:t>Tableau de bord exécutif</w:t>
      </w:r>
    </w:p>
    <w:p w:rsidR="00D511B6" w:rsidP="00D511B6" w:rsidRDefault="0046530C" w14:paraId="4C7408D2" w14:textId="7777777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tableau </w:t>
      </w:r>
      <w:r w:rsidRPr="00590FAE">
        <w:rPr>
          <w:rFonts w:asciiTheme="majorBidi" w:hAnsiTheme="majorBidi" w:cstheme="majorBidi"/>
          <w:sz w:val="24"/>
          <w:szCs w:val="24"/>
        </w:rPr>
        <w:t xml:space="preserve">bord </w:t>
      </w:r>
      <w:r>
        <w:rPr>
          <w:rFonts w:asciiTheme="majorBidi" w:hAnsiTheme="majorBidi" w:cstheme="majorBidi"/>
          <w:sz w:val="24"/>
          <w:szCs w:val="24"/>
        </w:rPr>
        <w:t>exécutif vise à o</w:t>
      </w:r>
      <w:r w:rsidRPr="00590FAE" w:rsidR="00590FAE">
        <w:rPr>
          <w:rFonts w:asciiTheme="majorBidi" w:hAnsiTheme="majorBidi" w:cstheme="majorBidi"/>
          <w:sz w:val="24"/>
          <w:szCs w:val="24"/>
        </w:rPr>
        <w:t>ffrir à la direction d</w:t>
      </w:r>
      <w:r w:rsidR="00D511B6">
        <w:rPr>
          <w:rFonts w:asciiTheme="majorBidi" w:hAnsiTheme="majorBidi" w:cstheme="majorBidi"/>
          <w:sz w:val="24"/>
          <w:szCs w:val="24"/>
        </w:rPr>
        <w:t xml:space="preserve">u </w:t>
      </w:r>
      <w:r w:rsidRPr="00590FAE" w:rsidR="00590FAE">
        <w:rPr>
          <w:rFonts w:asciiTheme="majorBidi" w:hAnsiTheme="majorBidi" w:cstheme="majorBidi"/>
          <w:sz w:val="24"/>
          <w:szCs w:val="24"/>
        </w:rPr>
        <w:t>MCA, aux décideurs et aux parties prenantes du programme une vue stratégique, consolidée et ciblée sur les risques majeurs et critiques, avec un focus prioritaire sur l’impact financier et les coûts de traitement</w:t>
      </w:r>
      <w:r w:rsidR="00D511B6">
        <w:rPr>
          <w:rFonts w:asciiTheme="majorBidi" w:hAnsiTheme="majorBidi" w:cstheme="majorBidi"/>
          <w:sz w:val="24"/>
          <w:szCs w:val="24"/>
        </w:rPr>
        <w:t xml:space="preserve"> des risques</w:t>
      </w:r>
      <w:r w:rsidRPr="00590FAE" w:rsidR="00590FAE">
        <w:rPr>
          <w:rFonts w:asciiTheme="majorBidi" w:hAnsiTheme="majorBidi" w:cstheme="majorBidi"/>
          <w:sz w:val="24"/>
          <w:szCs w:val="24"/>
        </w:rPr>
        <w:t>, pour éclairer la prise de décision et l’allocation des ressources.</w:t>
      </w:r>
    </w:p>
    <w:p w:rsidR="00D511B6" w:rsidP="00D511B6" w:rsidRDefault="00D511B6" w14:paraId="0AE4D71B" w14:textId="15D8BFA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Les indicateurs retenus à implémenter dans ce </w:t>
      </w:r>
      <w:r>
        <w:rPr>
          <w:rFonts w:asciiTheme="majorBidi" w:hAnsiTheme="majorBidi" w:cstheme="majorBidi"/>
          <w:sz w:val="24"/>
          <w:szCs w:val="24"/>
        </w:rPr>
        <w:t xml:space="preserve">deuxième </w:t>
      </w:r>
      <w:r>
        <w:rPr>
          <w:rFonts w:asciiTheme="majorBidi" w:hAnsiTheme="majorBidi" w:cstheme="majorBidi"/>
          <w:sz w:val="24"/>
          <w:szCs w:val="24"/>
        </w:rPr>
        <w:t xml:space="preserve">tableau de bord sont : </w:t>
      </w:r>
    </w:p>
    <w:p w:rsidRPr="00590FAE" w:rsidR="00590FAE" w:rsidP="006411C6" w:rsidRDefault="00D511B6" w14:paraId="5E3A893B" w14:textId="3D96F17F">
      <w:pPr>
        <w:numPr>
          <w:ilvl w:val="0"/>
          <w:numId w:val="19"/>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Pr="00590FAE" w:rsidR="00590FAE">
        <w:rPr>
          <w:rFonts w:asciiTheme="majorBidi" w:hAnsiTheme="majorBidi" w:cstheme="majorBidi"/>
          <w:b/>
          <w:bCs/>
          <w:sz w:val="24"/>
          <w:szCs w:val="24"/>
        </w:rPr>
        <w:t xml:space="preserve">Risques critiques : </w:t>
      </w:r>
      <w:r w:rsidRPr="00590FAE" w:rsidR="00590FAE">
        <w:rPr>
          <w:rFonts w:asciiTheme="majorBidi" w:hAnsiTheme="majorBidi" w:cstheme="majorBidi"/>
          <w:sz w:val="24"/>
          <w:szCs w:val="24"/>
        </w:rPr>
        <w:t>nombre de risques dont la criticité (probabilité × impact) dépasse le seuil défini ;</w:t>
      </w:r>
    </w:p>
    <w:p w:rsidRPr="00590FAE" w:rsidR="00590FAE" w:rsidP="006411C6" w:rsidRDefault="00D511B6" w14:paraId="06AF8291" w14:textId="4867237B">
      <w:pPr>
        <w:numPr>
          <w:ilvl w:val="0"/>
          <w:numId w:val="19"/>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Pr="00590FAE" w:rsidR="00590FAE">
        <w:rPr>
          <w:rFonts w:asciiTheme="majorBidi" w:hAnsiTheme="majorBidi" w:cstheme="majorBidi"/>
          <w:b/>
          <w:bCs/>
          <w:sz w:val="24"/>
          <w:szCs w:val="24"/>
        </w:rPr>
        <w:t xml:space="preserve">Risques majeurs : </w:t>
      </w:r>
      <w:r w:rsidRPr="00590FAE" w:rsidR="00590FAE">
        <w:rPr>
          <w:rFonts w:asciiTheme="majorBidi" w:hAnsiTheme="majorBidi" w:cstheme="majorBidi"/>
          <w:sz w:val="24"/>
          <w:szCs w:val="24"/>
        </w:rPr>
        <w:t>nombre de risques de niveau élevé, nécessitant une attention de la direction ;</w:t>
      </w:r>
    </w:p>
    <w:p w:rsidRPr="00590FAE" w:rsidR="00590FAE" w:rsidP="006411C6" w:rsidRDefault="00590FAE" w14:paraId="163097E5" w14:textId="77777777">
      <w:pPr>
        <w:numPr>
          <w:ilvl w:val="0"/>
          <w:numId w:val="19"/>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Estimation mise en œuvre des réponses :</w:t>
      </w:r>
      <w:r w:rsidRPr="00590FAE">
        <w:rPr>
          <w:rFonts w:asciiTheme="majorBidi" w:hAnsiTheme="majorBidi" w:cstheme="majorBidi"/>
          <w:sz w:val="24"/>
          <w:szCs w:val="24"/>
        </w:rPr>
        <w:t xml:space="preserve"> coût total planifié des mesures d’atténuation ;</w:t>
      </w:r>
    </w:p>
    <w:p w:rsidRPr="00590FAE" w:rsidR="00590FAE" w:rsidP="006411C6" w:rsidRDefault="00590FAE" w14:paraId="613FEDE7" w14:textId="77777777">
      <w:pPr>
        <w:numPr>
          <w:ilvl w:val="0"/>
          <w:numId w:val="19"/>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Réel mise en œuvre des réponses :</w:t>
      </w:r>
      <w:r w:rsidRPr="00590FAE">
        <w:rPr>
          <w:rFonts w:asciiTheme="majorBidi" w:hAnsiTheme="majorBidi" w:cstheme="majorBidi"/>
          <w:sz w:val="24"/>
          <w:szCs w:val="24"/>
        </w:rPr>
        <w:t xml:space="preserve"> coût total réel engagé pour la mise en œuvre des mesures d’atténuation ;</w:t>
      </w:r>
    </w:p>
    <w:p w:rsidRPr="00590FAE" w:rsidR="00590FAE" w:rsidP="006411C6" w:rsidRDefault="00590FAE" w14:paraId="6C969C38" w14:textId="77777777">
      <w:pPr>
        <w:numPr>
          <w:ilvl w:val="0"/>
          <w:numId w:val="19"/>
        </w:numPr>
        <w:spacing w:line="360" w:lineRule="auto"/>
        <w:jc w:val="both"/>
        <w:rPr>
          <w:rFonts w:asciiTheme="majorBidi" w:hAnsiTheme="majorBidi" w:cstheme="majorBidi"/>
          <w:sz w:val="24"/>
          <w:szCs w:val="24"/>
        </w:rPr>
      </w:pPr>
      <w:r w:rsidRPr="00590FAE">
        <w:rPr>
          <w:rFonts w:asciiTheme="majorBidi" w:hAnsiTheme="majorBidi" w:cstheme="majorBidi"/>
          <w:b/>
          <w:bCs/>
          <w:sz w:val="24"/>
          <w:szCs w:val="24"/>
        </w:rPr>
        <w:t>$ Impact cumulatif des risques :</w:t>
      </w:r>
      <w:r w:rsidRPr="00590FAE">
        <w:rPr>
          <w:rFonts w:asciiTheme="majorBidi" w:hAnsiTheme="majorBidi" w:cstheme="majorBidi"/>
          <w:sz w:val="24"/>
          <w:szCs w:val="24"/>
        </w:rPr>
        <w:t xml:space="preserve"> somme des impacts financiers potentiels des risques.</w:t>
      </w:r>
    </w:p>
    <w:p w:rsidRPr="00590FAE" w:rsidR="00590FAE" w:rsidP="006411C6" w:rsidRDefault="00590FAE" w14:paraId="68F4005C" w14:textId="77777777">
      <w:pPr>
        <w:spacing w:line="360" w:lineRule="auto"/>
        <w:jc w:val="both"/>
        <w:rPr>
          <w:rFonts w:asciiTheme="majorBidi" w:hAnsiTheme="majorBidi" w:cstheme="majorBidi"/>
          <w:sz w:val="24"/>
          <w:szCs w:val="24"/>
        </w:rPr>
      </w:pPr>
      <w:r w:rsidRPr="00590FAE">
        <w:rPr>
          <w:rFonts w:asciiTheme="majorBidi" w:hAnsiTheme="majorBidi" w:cstheme="majorBidi"/>
          <w:sz w:val="24"/>
          <w:szCs w:val="24"/>
        </w:rPr>
        <w:t>Le tableau de bord exécutif dispose également de graphiques interactifs, qui peuvent être filtrés selon les critères suivants :</w:t>
      </w:r>
    </w:p>
    <w:p w:rsidRPr="00590FAE" w:rsidR="00590FAE" w:rsidP="006411C6" w:rsidRDefault="00590FAE" w14:paraId="73BEB88A" w14:textId="77777777">
      <w:pPr>
        <w:numPr>
          <w:ilvl w:val="0"/>
          <w:numId w:val="2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Statut</w:t>
      </w:r>
    </w:p>
    <w:p w:rsidRPr="00590FAE" w:rsidR="00590FAE" w:rsidP="006411C6" w:rsidRDefault="00590FAE" w14:paraId="76BA6E48" w14:textId="77777777">
      <w:pPr>
        <w:numPr>
          <w:ilvl w:val="0"/>
          <w:numId w:val="2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Domaine</w:t>
      </w:r>
    </w:p>
    <w:p w:rsidRPr="00590FAE" w:rsidR="00590FAE" w:rsidP="006411C6" w:rsidRDefault="00590FAE" w14:paraId="6925AC93" w14:textId="77777777">
      <w:pPr>
        <w:numPr>
          <w:ilvl w:val="0"/>
          <w:numId w:val="2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Projet</w:t>
      </w:r>
    </w:p>
    <w:p w:rsidRPr="00590FAE" w:rsidR="00590FAE" w:rsidP="006411C6" w:rsidRDefault="00590FAE" w14:paraId="655A7D4F" w14:textId="77777777">
      <w:pPr>
        <w:numPr>
          <w:ilvl w:val="0"/>
          <w:numId w:val="2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Catégorie</w:t>
      </w:r>
    </w:p>
    <w:p w:rsidRPr="00590FAE" w:rsidR="00590FAE" w:rsidP="006411C6" w:rsidRDefault="00590FAE" w14:paraId="5B862DD8" w14:textId="77777777">
      <w:pPr>
        <w:numPr>
          <w:ilvl w:val="0"/>
          <w:numId w:val="20"/>
        </w:numPr>
        <w:spacing w:line="360" w:lineRule="auto"/>
        <w:jc w:val="both"/>
        <w:rPr>
          <w:rFonts w:asciiTheme="majorBidi" w:hAnsiTheme="majorBidi" w:cstheme="majorBidi"/>
          <w:sz w:val="24"/>
          <w:szCs w:val="24"/>
        </w:rPr>
      </w:pPr>
      <w:r w:rsidRPr="00590FAE">
        <w:rPr>
          <w:rFonts w:asciiTheme="majorBidi" w:hAnsiTheme="majorBidi" w:cstheme="majorBidi"/>
          <w:sz w:val="24"/>
          <w:szCs w:val="24"/>
        </w:rPr>
        <w:t>Contrat</w:t>
      </w:r>
    </w:p>
    <w:p w:rsidRPr="00590FAE" w:rsidR="0089038C" w:rsidP="006411C6" w:rsidRDefault="0089038C" w14:paraId="43378FB6" w14:textId="77777777">
      <w:pPr>
        <w:spacing w:line="360" w:lineRule="auto"/>
        <w:jc w:val="both"/>
        <w:rPr>
          <w:rFonts w:asciiTheme="majorBidi" w:hAnsiTheme="majorBidi" w:cstheme="majorBidi"/>
          <w:sz w:val="24"/>
          <w:szCs w:val="24"/>
        </w:rPr>
      </w:pPr>
    </w:p>
    <w:sectPr w:rsidRPr="00590FAE" w:rsidR="0089038C" w:rsidSect="00EF7F30">
      <w:headerReference w:type="default" r:id="rId7"/>
      <w:footerReference w:type="default" r:id="rId8"/>
      <w:pgSz w:w="11906" w:h="16838" w:orient="portrait"/>
      <w:pgMar w:top="1417" w:right="1417" w:bottom="1417" w:left="1417" w:header="142"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Ui" w:author="Utilisateur invité" w:date="2026-03-13T10:26:34" w:id="1284233896">
    <w:p xmlns:w14="http://schemas.microsoft.com/office/word/2010/wordml" xmlns:w="http://schemas.openxmlformats.org/wordprocessingml/2006/main" w:rsidR="60879F42" w:rsidRDefault="139E486F" w14:paraId="4B7A32FE" w14:textId="3596B1B1">
      <w:pPr>
        <w:pStyle w:val="CommentText"/>
      </w:pPr>
      <w:r>
        <w:rPr>
          <w:rStyle w:val="CommentReference"/>
        </w:rPr>
        <w:annotationRef/>
      </w:r>
      <w:r w:rsidRPr="41035C26" w:rsidR="0C14A1AB">
        <w:t>couts réel (si requis)</w:t>
      </w:r>
    </w:p>
  </w:comment>
  <w:comment xmlns:w="http://schemas.openxmlformats.org/wordprocessingml/2006/main" w:initials="Ui" w:author="Utilisateur invité" w:date="2026-03-13T11:39:02" w:id="1251962103">
    <w:p xmlns:w14="http://schemas.microsoft.com/office/word/2010/wordml" xmlns:w="http://schemas.openxmlformats.org/wordprocessingml/2006/main" w:rsidR="1983B673" w:rsidRDefault="745B77F1" w14:paraId="62D5DC1E" w14:textId="1484E8A0">
      <w:pPr>
        <w:pStyle w:val="CommentText"/>
      </w:pPr>
      <w:r>
        <w:rPr>
          <w:rStyle w:val="CommentReference"/>
        </w:rPr>
        <w:annotationRef/>
      </w:r>
      <w:r w:rsidRPr="1D759810" w:rsidR="187F8EC4">
        <w:t>bien identifier comment coter chaque point</w:t>
      </w:r>
    </w:p>
  </w:comment>
</w:comments>
</file>

<file path=word/commentsExtended.xml><?xml version="1.0" encoding="utf-8"?>
<w15:commentsEx xmlns:mc="http://schemas.openxmlformats.org/markup-compatibility/2006" xmlns:w15="http://schemas.microsoft.com/office/word/2012/wordml" mc:Ignorable="w15">
  <w15:commentEx w15:done="0" w15:paraId="4B7A32FE"/>
  <w15:commentEx w15:done="0" w15:paraId="62D5DC1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C93E2A" w16cex:dateUtc="2026-03-13T14:26:34.884Z"/>
  <w16cex:commentExtensible w16cex:durableId="3D92A42B" w16cex:dateUtc="2026-03-13T15:39:02.529Z"/>
</w16cex:commentsExtensible>
</file>

<file path=word/commentsIds.xml><?xml version="1.0" encoding="utf-8"?>
<w16cid:commentsIds xmlns:mc="http://schemas.openxmlformats.org/markup-compatibility/2006" xmlns:w16cid="http://schemas.microsoft.com/office/word/2016/wordml/cid" mc:Ignorable="w16cid">
  <w16cid:commentId w16cid:paraId="4B7A32FE" w16cid:durableId="19C93E2A"/>
  <w16cid:commentId w16cid:paraId="62D5DC1E" w16cid:durableId="3D92A4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1E2C" w:rsidP="00EF7F30" w:rsidRDefault="00E31E2C" w14:paraId="42314AF5" w14:textId="77777777">
      <w:pPr>
        <w:spacing w:after="0" w:line="240" w:lineRule="auto"/>
      </w:pPr>
      <w:r>
        <w:separator/>
      </w:r>
    </w:p>
  </w:endnote>
  <w:endnote w:type="continuationSeparator" w:id="0">
    <w:p w:rsidR="00E31E2C" w:rsidP="00EF7F30" w:rsidRDefault="00E31E2C" w14:paraId="67A4B40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30689"/>
      <w:docPartObj>
        <w:docPartGallery w:val="Page Numbers (Bottom of Page)"/>
        <w:docPartUnique/>
      </w:docPartObj>
    </w:sdtPr>
    <w:sdtEndPr>
      <w:rPr>
        <w:rFonts w:ascii="Times New Roman" w:hAnsi="Times New Roman" w:cs="Times New Roman" w:asciiTheme="majorBidi" w:hAnsiTheme="majorBidi" w:cstheme="majorBidi"/>
      </w:rPr>
    </w:sdtEndPr>
    <w:sdtContent>
      <w:p w:rsidRPr="007C1884" w:rsidR="007C1884" w:rsidRDefault="007C1884" w14:paraId="13EED444" w14:textId="7A9A4BF6">
        <w:pPr>
          <w:pStyle w:val="Pieddepage"/>
          <w:jc w:val="right"/>
          <w:rPr>
            <w:rFonts w:asciiTheme="majorBidi" w:hAnsiTheme="majorBidi" w:cstheme="majorBidi"/>
          </w:rPr>
        </w:pPr>
        <w:r w:rsidRPr="007C1884">
          <w:rPr>
            <w:rFonts w:asciiTheme="majorBidi" w:hAnsiTheme="majorBidi" w:cstheme="majorBidi"/>
          </w:rPr>
          <w:fldChar w:fldCharType="begin"/>
        </w:r>
        <w:r w:rsidRPr="007C1884">
          <w:rPr>
            <w:rFonts w:asciiTheme="majorBidi" w:hAnsiTheme="majorBidi" w:cstheme="majorBidi"/>
          </w:rPr>
          <w:instrText>PAGE   \* MERGEFORMAT</w:instrText>
        </w:r>
        <w:r w:rsidRPr="007C1884">
          <w:rPr>
            <w:rFonts w:asciiTheme="majorBidi" w:hAnsiTheme="majorBidi" w:cstheme="majorBidi"/>
          </w:rPr>
          <w:fldChar w:fldCharType="separate"/>
        </w:r>
        <w:r w:rsidRPr="007C1884">
          <w:rPr>
            <w:rFonts w:asciiTheme="majorBidi" w:hAnsiTheme="majorBidi" w:cstheme="majorBidi"/>
          </w:rPr>
          <w:t>2</w:t>
        </w:r>
        <w:r w:rsidRPr="007C1884">
          <w:rPr>
            <w:rFonts w:asciiTheme="majorBidi" w:hAnsiTheme="majorBidi" w:cstheme="majorBidi"/>
          </w:rPr>
          <w:fldChar w:fldCharType="end"/>
        </w:r>
      </w:p>
    </w:sdtContent>
  </w:sdt>
  <w:p w:rsidR="007C1884" w:rsidRDefault="007C1884" w14:paraId="5B1D82AD"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1E2C" w:rsidP="00EF7F30" w:rsidRDefault="00E31E2C" w14:paraId="425B91C1" w14:textId="77777777">
      <w:pPr>
        <w:spacing w:after="0" w:line="240" w:lineRule="auto"/>
      </w:pPr>
      <w:r>
        <w:separator/>
      </w:r>
    </w:p>
  </w:footnote>
  <w:footnote w:type="continuationSeparator" w:id="0">
    <w:p w:rsidR="00E31E2C" w:rsidP="00EF7F30" w:rsidRDefault="00E31E2C" w14:paraId="0EB3562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F7F30" w:rsidP="00EF7F30" w:rsidRDefault="00EF7F30" w14:paraId="550C8810" w14:textId="414884AE">
    <w:pPr>
      <w:pStyle w:val="En-tte"/>
      <w:jc w:val="center"/>
    </w:pPr>
    <w:r>
      <w:rPr>
        <w:noProof/>
      </w:rPr>
      <w:drawing>
        <wp:inline distT="0" distB="0" distL="0" distR="0" wp14:anchorId="478F263F" wp14:editId="1B2D39E9">
          <wp:extent cx="2179320" cy="683440"/>
          <wp:effectExtent l="0" t="0" r="0" b="0"/>
          <wp:docPr id="954920869" name="Image 1" descr="Ginger SOFRECO | Qui sommes-n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nger SOFRECO | Qui sommes-nou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130" cy="6868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058"/>
    <w:multiLevelType w:val="multilevel"/>
    <w:tmpl w:val="B78E31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D24C4"/>
    <w:multiLevelType w:val="multilevel"/>
    <w:tmpl w:val="65C6D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8E5F10"/>
    <w:multiLevelType w:val="multilevel"/>
    <w:tmpl w:val="5A747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201F76"/>
    <w:multiLevelType w:val="multilevel"/>
    <w:tmpl w:val="341C7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DA3EEB"/>
    <w:multiLevelType w:val="multilevel"/>
    <w:tmpl w:val="18A0F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4713CD"/>
    <w:multiLevelType w:val="multilevel"/>
    <w:tmpl w:val="8B56E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24474D"/>
    <w:multiLevelType w:val="multilevel"/>
    <w:tmpl w:val="2000001F"/>
    <w:lvl w:ilvl="0">
      <w:start w:val="1"/>
      <w:numFmt w:val="decimal"/>
      <w:lvlText w:val="%1."/>
      <w:lvlJc w:val="left"/>
      <w:pPr>
        <w:ind w:left="360" w:hanging="360"/>
      </w:pPr>
      <w:rPr>
        <w:lang w:val="en-U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893D06"/>
    <w:multiLevelType w:val="multilevel"/>
    <w:tmpl w:val="87C40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D315975"/>
    <w:multiLevelType w:val="multilevel"/>
    <w:tmpl w:val="2E3AB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60366"/>
    <w:multiLevelType w:val="multilevel"/>
    <w:tmpl w:val="03F2B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D716A1A"/>
    <w:multiLevelType w:val="multilevel"/>
    <w:tmpl w:val="59D25E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17A04"/>
    <w:multiLevelType w:val="multilevel"/>
    <w:tmpl w:val="7EB67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A085319"/>
    <w:multiLevelType w:val="multilevel"/>
    <w:tmpl w:val="74FE9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D74E6"/>
    <w:multiLevelType w:val="multilevel"/>
    <w:tmpl w:val="E5F22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A324FA8"/>
    <w:multiLevelType w:val="multilevel"/>
    <w:tmpl w:val="65FE4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C1A7476"/>
    <w:multiLevelType w:val="multilevel"/>
    <w:tmpl w:val="29A29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E7B260D"/>
    <w:multiLevelType w:val="multilevel"/>
    <w:tmpl w:val="1AEEA62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38F08CC"/>
    <w:multiLevelType w:val="multilevel"/>
    <w:tmpl w:val="45AE9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55B62F4"/>
    <w:multiLevelType w:val="multilevel"/>
    <w:tmpl w:val="F1FA9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8E23CA4"/>
    <w:multiLevelType w:val="multilevel"/>
    <w:tmpl w:val="3912E7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D7C5944"/>
    <w:multiLevelType w:val="multilevel"/>
    <w:tmpl w:val="B6B84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F6E6CB6"/>
    <w:multiLevelType w:val="multilevel"/>
    <w:tmpl w:val="C652B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46815454">
    <w:abstractNumId w:val="3"/>
  </w:num>
  <w:num w:numId="2" w16cid:durableId="679549152">
    <w:abstractNumId w:val="6"/>
  </w:num>
  <w:num w:numId="3" w16cid:durableId="837423582">
    <w:abstractNumId w:val="1"/>
  </w:num>
  <w:num w:numId="4" w16cid:durableId="307521215">
    <w:abstractNumId w:val="8"/>
  </w:num>
  <w:num w:numId="5" w16cid:durableId="1857112427">
    <w:abstractNumId w:val="16"/>
  </w:num>
  <w:num w:numId="6" w16cid:durableId="709648004">
    <w:abstractNumId w:val="12"/>
  </w:num>
  <w:num w:numId="7" w16cid:durableId="388650616">
    <w:abstractNumId w:val="10"/>
  </w:num>
  <w:num w:numId="8" w16cid:durableId="1204100655">
    <w:abstractNumId w:val="2"/>
  </w:num>
  <w:num w:numId="9" w16cid:durableId="1027217458">
    <w:abstractNumId w:val="9"/>
  </w:num>
  <w:num w:numId="10" w16cid:durableId="312417224">
    <w:abstractNumId w:val="17"/>
  </w:num>
  <w:num w:numId="11" w16cid:durableId="126895278">
    <w:abstractNumId w:val="20"/>
  </w:num>
  <w:num w:numId="12" w16cid:durableId="1409574304">
    <w:abstractNumId w:val="21"/>
  </w:num>
  <w:num w:numId="13" w16cid:durableId="324086679">
    <w:abstractNumId w:val="13"/>
  </w:num>
  <w:num w:numId="14" w16cid:durableId="1305162104">
    <w:abstractNumId w:val="14"/>
  </w:num>
  <w:num w:numId="15" w16cid:durableId="1490097719">
    <w:abstractNumId w:val="18"/>
  </w:num>
  <w:num w:numId="16" w16cid:durableId="219173320">
    <w:abstractNumId w:val="0"/>
  </w:num>
  <w:num w:numId="17" w16cid:durableId="1889487560">
    <w:abstractNumId w:val="5"/>
  </w:num>
  <w:num w:numId="18" w16cid:durableId="2032997199">
    <w:abstractNumId w:val="4"/>
  </w:num>
  <w:num w:numId="19" w16cid:durableId="603458030">
    <w:abstractNumId w:val="15"/>
  </w:num>
  <w:num w:numId="20" w16cid:durableId="1094279356">
    <w:abstractNumId w:val="7"/>
  </w:num>
  <w:num w:numId="21" w16cid:durableId="2094431406">
    <w:abstractNumId w:val="19"/>
  </w:num>
  <w:num w:numId="22" w16cid:durableId="1417480769">
    <w:abstractNumId w:val="11"/>
  </w:num>
</w:numbering>
</file>

<file path=word/people.xml><?xml version="1.0" encoding="utf-8"?>
<w15:people xmlns:mc="http://schemas.openxmlformats.org/markup-compatibility/2006" xmlns:w15="http://schemas.microsoft.com/office/word/2012/wordml" mc:Ignorable="w15">
  <w15:person w15:author="Utilisateur invité">
    <w15:presenceInfo w15:providerId="AD" w15:userId="S::urn:spo:tenantanon#0ba12536-549b-4745-959e-a715710ea5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E"/>
    <w:rsid w:val="00103B1C"/>
    <w:rsid w:val="00232FF5"/>
    <w:rsid w:val="00263D69"/>
    <w:rsid w:val="0046530C"/>
    <w:rsid w:val="0054036D"/>
    <w:rsid w:val="00590FAE"/>
    <w:rsid w:val="0062675D"/>
    <w:rsid w:val="006411C6"/>
    <w:rsid w:val="0067484E"/>
    <w:rsid w:val="006B5C09"/>
    <w:rsid w:val="007C1884"/>
    <w:rsid w:val="0089038C"/>
    <w:rsid w:val="008A4239"/>
    <w:rsid w:val="009957EF"/>
    <w:rsid w:val="009F0124"/>
    <w:rsid w:val="00A073BB"/>
    <w:rsid w:val="00A81C46"/>
    <w:rsid w:val="00D23A57"/>
    <w:rsid w:val="00D511B6"/>
    <w:rsid w:val="00DA3FEC"/>
    <w:rsid w:val="00E31E2C"/>
    <w:rsid w:val="00EF7F30"/>
    <w:rsid w:val="00F90967"/>
    <w:rsid w:val="09945018"/>
    <w:rsid w:val="489B41B6"/>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AF63C"/>
  <w15:chartTrackingRefBased/>
  <w15:docId w15:val="{753E9C20-EAF7-496B-8544-5F2B801C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 w:eastAsia="fr-T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fr-FR"/>
    </w:rPr>
  </w:style>
  <w:style w:type="paragraph" w:styleId="Titre1">
    <w:name w:val="heading 1"/>
    <w:basedOn w:val="Normal"/>
    <w:next w:val="Normal"/>
    <w:link w:val="Titre1Car"/>
    <w:uiPriority w:val="9"/>
    <w:qFormat/>
    <w:rsid w:val="00590FA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0FA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0FA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0FA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0FA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0F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0F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0F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0FAE"/>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590FAE"/>
    <w:rPr>
      <w:rFonts w:asciiTheme="majorHAnsi" w:hAnsiTheme="majorHAnsi" w:eastAsiaTheme="majorEastAsia" w:cstheme="majorBidi"/>
      <w:color w:val="0F4761" w:themeColor="accent1" w:themeShade="BF"/>
      <w:sz w:val="40"/>
      <w:szCs w:val="40"/>
      <w:lang w:val="fr-FR"/>
    </w:rPr>
  </w:style>
  <w:style w:type="character" w:styleId="Titre2Car" w:customStyle="1">
    <w:name w:val="Titre 2 Car"/>
    <w:basedOn w:val="Policepardfaut"/>
    <w:link w:val="Titre2"/>
    <w:uiPriority w:val="9"/>
    <w:semiHidden/>
    <w:rsid w:val="00590FAE"/>
    <w:rPr>
      <w:rFonts w:asciiTheme="majorHAnsi" w:hAnsiTheme="majorHAnsi" w:eastAsiaTheme="majorEastAsia" w:cstheme="majorBidi"/>
      <w:color w:val="0F4761" w:themeColor="accent1" w:themeShade="BF"/>
      <w:sz w:val="32"/>
      <w:szCs w:val="32"/>
      <w:lang w:val="fr-FR"/>
    </w:rPr>
  </w:style>
  <w:style w:type="character" w:styleId="Titre3Car" w:customStyle="1">
    <w:name w:val="Titre 3 Car"/>
    <w:basedOn w:val="Policepardfaut"/>
    <w:link w:val="Titre3"/>
    <w:uiPriority w:val="9"/>
    <w:semiHidden/>
    <w:rsid w:val="00590FAE"/>
    <w:rPr>
      <w:rFonts w:eastAsiaTheme="majorEastAsia" w:cstheme="majorBidi"/>
      <w:color w:val="0F4761" w:themeColor="accent1" w:themeShade="BF"/>
      <w:sz w:val="28"/>
      <w:szCs w:val="28"/>
      <w:lang w:val="fr-FR"/>
    </w:rPr>
  </w:style>
  <w:style w:type="character" w:styleId="Titre4Car" w:customStyle="1">
    <w:name w:val="Titre 4 Car"/>
    <w:basedOn w:val="Policepardfaut"/>
    <w:link w:val="Titre4"/>
    <w:uiPriority w:val="9"/>
    <w:semiHidden/>
    <w:rsid w:val="00590FAE"/>
    <w:rPr>
      <w:rFonts w:eastAsiaTheme="majorEastAsia" w:cstheme="majorBidi"/>
      <w:i/>
      <w:iCs/>
      <w:color w:val="0F4761" w:themeColor="accent1" w:themeShade="BF"/>
      <w:lang w:val="fr-FR"/>
    </w:rPr>
  </w:style>
  <w:style w:type="character" w:styleId="Titre5Car" w:customStyle="1">
    <w:name w:val="Titre 5 Car"/>
    <w:basedOn w:val="Policepardfaut"/>
    <w:link w:val="Titre5"/>
    <w:uiPriority w:val="9"/>
    <w:semiHidden/>
    <w:rsid w:val="00590FAE"/>
    <w:rPr>
      <w:rFonts w:eastAsiaTheme="majorEastAsia" w:cstheme="majorBidi"/>
      <w:color w:val="0F4761" w:themeColor="accent1" w:themeShade="BF"/>
      <w:lang w:val="fr-FR"/>
    </w:rPr>
  </w:style>
  <w:style w:type="character" w:styleId="Titre6Car" w:customStyle="1">
    <w:name w:val="Titre 6 Car"/>
    <w:basedOn w:val="Policepardfaut"/>
    <w:link w:val="Titre6"/>
    <w:uiPriority w:val="9"/>
    <w:semiHidden/>
    <w:rsid w:val="00590FAE"/>
    <w:rPr>
      <w:rFonts w:eastAsiaTheme="majorEastAsia" w:cstheme="majorBidi"/>
      <w:i/>
      <w:iCs/>
      <w:color w:val="595959" w:themeColor="text1" w:themeTint="A6"/>
      <w:lang w:val="fr-FR"/>
    </w:rPr>
  </w:style>
  <w:style w:type="character" w:styleId="Titre7Car" w:customStyle="1">
    <w:name w:val="Titre 7 Car"/>
    <w:basedOn w:val="Policepardfaut"/>
    <w:link w:val="Titre7"/>
    <w:uiPriority w:val="9"/>
    <w:semiHidden/>
    <w:rsid w:val="00590FAE"/>
    <w:rPr>
      <w:rFonts w:eastAsiaTheme="majorEastAsia" w:cstheme="majorBidi"/>
      <w:color w:val="595959" w:themeColor="text1" w:themeTint="A6"/>
      <w:lang w:val="fr-FR"/>
    </w:rPr>
  </w:style>
  <w:style w:type="character" w:styleId="Titre8Car" w:customStyle="1">
    <w:name w:val="Titre 8 Car"/>
    <w:basedOn w:val="Policepardfaut"/>
    <w:link w:val="Titre8"/>
    <w:uiPriority w:val="9"/>
    <w:semiHidden/>
    <w:rsid w:val="00590FAE"/>
    <w:rPr>
      <w:rFonts w:eastAsiaTheme="majorEastAsia" w:cstheme="majorBidi"/>
      <w:i/>
      <w:iCs/>
      <w:color w:val="272727" w:themeColor="text1" w:themeTint="D8"/>
      <w:lang w:val="fr-FR"/>
    </w:rPr>
  </w:style>
  <w:style w:type="character" w:styleId="Titre9Car" w:customStyle="1">
    <w:name w:val="Titre 9 Car"/>
    <w:basedOn w:val="Policepardfaut"/>
    <w:link w:val="Titre9"/>
    <w:uiPriority w:val="9"/>
    <w:semiHidden/>
    <w:rsid w:val="00590FAE"/>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590FAE"/>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590FAE"/>
    <w:rPr>
      <w:rFonts w:asciiTheme="majorHAnsi" w:hAnsiTheme="majorHAnsi" w:eastAsiaTheme="majorEastAsia" w:cstheme="majorBidi"/>
      <w:spacing w:val="-10"/>
      <w:kern w:val="28"/>
      <w:sz w:val="56"/>
      <w:szCs w:val="56"/>
      <w:lang w:val="fr-FR"/>
    </w:rPr>
  </w:style>
  <w:style w:type="paragraph" w:styleId="Sous-titre">
    <w:name w:val="Subtitle"/>
    <w:basedOn w:val="Normal"/>
    <w:next w:val="Normal"/>
    <w:link w:val="Sous-titreCar"/>
    <w:uiPriority w:val="11"/>
    <w:qFormat/>
    <w:rsid w:val="00590FAE"/>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590FAE"/>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590FAE"/>
    <w:pPr>
      <w:spacing w:before="160"/>
      <w:jc w:val="center"/>
    </w:pPr>
    <w:rPr>
      <w:i/>
      <w:iCs/>
      <w:color w:val="404040" w:themeColor="text1" w:themeTint="BF"/>
    </w:rPr>
  </w:style>
  <w:style w:type="character" w:styleId="CitationCar" w:customStyle="1">
    <w:name w:val="Citation Car"/>
    <w:basedOn w:val="Policepardfaut"/>
    <w:link w:val="Citation"/>
    <w:uiPriority w:val="29"/>
    <w:rsid w:val="00590FAE"/>
    <w:rPr>
      <w:i/>
      <w:iCs/>
      <w:color w:val="404040" w:themeColor="text1" w:themeTint="BF"/>
      <w:lang w:val="fr-FR"/>
    </w:rPr>
  </w:style>
  <w:style w:type="paragraph" w:styleId="Paragraphedeliste">
    <w:name w:val="List Paragraph"/>
    <w:basedOn w:val="Normal"/>
    <w:uiPriority w:val="34"/>
    <w:qFormat/>
    <w:rsid w:val="00590FAE"/>
    <w:pPr>
      <w:ind w:left="720"/>
      <w:contextualSpacing/>
    </w:pPr>
  </w:style>
  <w:style w:type="character" w:styleId="Accentuationintense">
    <w:name w:val="Intense Emphasis"/>
    <w:basedOn w:val="Policepardfaut"/>
    <w:uiPriority w:val="21"/>
    <w:qFormat/>
    <w:rsid w:val="00590FAE"/>
    <w:rPr>
      <w:i/>
      <w:iCs/>
      <w:color w:val="0F4761" w:themeColor="accent1" w:themeShade="BF"/>
    </w:rPr>
  </w:style>
  <w:style w:type="paragraph" w:styleId="Citationintense">
    <w:name w:val="Intense Quote"/>
    <w:basedOn w:val="Normal"/>
    <w:next w:val="Normal"/>
    <w:link w:val="CitationintenseCar"/>
    <w:uiPriority w:val="30"/>
    <w:qFormat/>
    <w:rsid w:val="00590FA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590FAE"/>
    <w:rPr>
      <w:i/>
      <w:iCs/>
      <w:color w:val="0F4761" w:themeColor="accent1" w:themeShade="BF"/>
      <w:lang w:val="fr-FR"/>
    </w:rPr>
  </w:style>
  <w:style w:type="character" w:styleId="Rfrenceintense">
    <w:name w:val="Intense Reference"/>
    <w:basedOn w:val="Policepardfaut"/>
    <w:uiPriority w:val="32"/>
    <w:qFormat/>
    <w:rsid w:val="00590FAE"/>
    <w:rPr>
      <w:b/>
      <w:bCs/>
      <w:smallCaps/>
      <w:color w:val="0F4761" w:themeColor="accent1" w:themeShade="BF"/>
      <w:spacing w:val="5"/>
    </w:rPr>
  </w:style>
  <w:style w:type="paragraph" w:styleId="ds-markdown-paragraph" w:customStyle="1">
    <w:name w:val="ds-markdown-paragraph"/>
    <w:basedOn w:val="Normal"/>
    <w:rsid w:val="00103B1C"/>
    <w:pPr>
      <w:spacing w:before="100" w:beforeAutospacing="1" w:after="100" w:afterAutospacing="1" w:line="240" w:lineRule="auto"/>
    </w:pPr>
    <w:rPr>
      <w:rFonts w:ascii="Times New Roman" w:hAnsi="Times New Roman" w:eastAsia="Times New Roman" w:cs="Times New Roman"/>
      <w:kern w:val="0"/>
      <w:sz w:val="24"/>
      <w:szCs w:val="24"/>
      <w:lang w:val="en-US" w:eastAsia="en-US"/>
      <w14:ligatures w14:val="none"/>
    </w:rPr>
  </w:style>
  <w:style w:type="table" w:styleId="TableauListe3-Accentuation1">
    <w:name w:val="List Table 3 Accent 1"/>
    <w:basedOn w:val="TableauNormal"/>
    <w:uiPriority w:val="48"/>
    <w:rsid w:val="00D23A57"/>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paragraph" w:styleId="En-tte">
    <w:name w:val="header"/>
    <w:basedOn w:val="Normal"/>
    <w:link w:val="En-tteCar"/>
    <w:uiPriority w:val="99"/>
    <w:unhideWhenUsed/>
    <w:rsid w:val="00EF7F30"/>
    <w:pPr>
      <w:tabs>
        <w:tab w:val="center" w:pos="4703"/>
        <w:tab w:val="right" w:pos="9406"/>
      </w:tabs>
      <w:spacing w:after="0" w:line="240" w:lineRule="auto"/>
    </w:pPr>
  </w:style>
  <w:style w:type="character" w:styleId="En-tteCar" w:customStyle="1">
    <w:name w:val="En-tête Car"/>
    <w:basedOn w:val="Policepardfaut"/>
    <w:link w:val="En-tte"/>
    <w:uiPriority w:val="99"/>
    <w:rsid w:val="00EF7F30"/>
    <w:rPr>
      <w:lang w:val="fr-FR"/>
    </w:rPr>
  </w:style>
  <w:style w:type="paragraph" w:styleId="Pieddepage">
    <w:name w:val="footer"/>
    <w:basedOn w:val="Normal"/>
    <w:link w:val="PieddepageCar"/>
    <w:uiPriority w:val="99"/>
    <w:unhideWhenUsed/>
    <w:rsid w:val="00EF7F30"/>
    <w:pPr>
      <w:tabs>
        <w:tab w:val="center" w:pos="4703"/>
        <w:tab w:val="right" w:pos="9406"/>
      </w:tabs>
      <w:spacing w:after="0" w:line="240" w:lineRule="auto"/>
    </w:pPr>
  </w:style>
  <w:style w:type="character" w:styleId="PieddepageCar" w:customStyle="1">
    <w:name w:val="Pied de page Car"/>
    <w:basedOn w:val="Policepardfaut"/>
    <w:link w:val="Pieddepage"/>
    <w:uiPriority w:val="99"/>
    <w:rsid w:val="00EF7F30"/>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dccb1993bfbd477a" /><Relationship Type="http://schemas.microsoft.com/office/2016/09/relationships/commentsIds" Target="commentsIds.xml" Id="R806a38470d294861" /><Relationship Type="http://schemas.microsoft.com/office/2011/relationships/commentsExtended" Target="commentsExtended.xml" Id="R7a0ddd8aca1b4e2e" /><Relationship Type="http://schemas.microsoft.com/office/2018/08/relationships/commentsExtensible" Target="commentsExtensible.xml" Id="Rcbb30e7f81f04867" /><Relationship Type="http://schemas.microsoft.com/office/2011/relationships/people" Target="people.xml" Id="R125cabbdcc5b4a4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FA8D9B-3802-421B-AF73-BA09D6418A2A}"/>
</file>

<file path=customXml/itemProps2.xml><?xml version="1.0" encoding="utf-8"?>
<ds:datastoreItem xmlns:ds="http://schemas.openxmlformats.org/officeDocument/2006/customXml" ds:itemID="{8DA19C1E-1E5B-4F5F-A5B7-937C65615063}"/>
</file>

<file path=customXml/itemProps3.xml><?xml version="1.0" encoding="utf-8"?>
<ds:datastoreItem xmlns:ds="http://schemas.openxmlformats.org/officeDocument/2006/customXml" ds:itemID="{0EA79B87-DA92-4710-AC4F-E6D4A5DF80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Nedhir Ben Rajeb</dc:creator>
  <keywords/>
  <dc:description/>
  <lastModifiedBy>Utilisateur invité</lastModifiedBy>
  <revision>8</revision>
  <dcterms:created xsi:type="dcterms:W3CDTF">2026-02-11T12:09:00.0000000Z</dcterms:created>
  <dcterms:modified xsi:type="dcterms:W3CDTF">2026-03-13T15:41:40.3269211Z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2026-02-11T12:55:43Z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0ba12536-549b-4745-959e-a715710ea58a</vt:lpwstr>
  </property>
  <property fmtid="{D5CDD505-2E9C-101B-9397-08002B2CF9AE}" pid="7" name="MSIP_Label_defa4170-0d19-0005-0004-bc88714345d2_ActionId">
    <vt:lpwstr>7758bd3e-20d4-4575-8c1a-ad04c8337553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0x010100973C13D87EE4424A828A7B59EC48785C</vt:lpwstr>
  </property>
  <property fmtid="{D5CDD505-2E9C-101B-9397-08002B2CF9AE}" pid="11" name="MediaServiceImageTags">
    <vt:lpwstr/>
  </property>
</Properties>
</file>