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34E6A" w14:textId="0DE9C2CD" w:rsidR="00EF46D9" w:rsidRPr="00547AF9" w:rsidRDefault="00EF46D9" w:rsidP="008E5D7D">
      <w:pPr>
        <w:spacing w:after="0" w:line="240" w:lineRule="auto"/>
        <w:jc w:val="center"/>
        <w:rPr>
          <w:rFonts w:eastAsia="Times New Roman" w:cstheme="minorHAnsi"/>
          <w:lang w:eastAsia="es-CO"/>
        </w:rPr>
      </w:pPr>
      <w:r w:rsidRPr="00547AF9">
        <w:rPr>
          <w:rFonts w:eastAsia="Times New Roman" w:cstheme="minorHAnsi"/>
          <w:b/>
          <w:bCs/>
          <w:color w:val="000000"/>
          <w:lang w:eastAsia="es-CO"/>
        </w:rPr>
        <w:t xml:space="preserve">Reto </w:t>
      </w:r>
      <w:r w:rsidR="00B93137">
        <w:rPr>
          <w:rFonts w:eastAsia="Times New Roman" w:cstheme="minorHAnsi"/>
          <w:b/>
          <w:bCs/>
          <w:color w:val="000000"/>
          <w:lang w:eastAsia="es-CO"/>
        </w:rPr>
        <w:t>1</w:t>
      </w:r>
      <w:r w:rsidR="00B74869">
        <w:rPr>
          <w:rFonts w:eastAsia="Times New Roman" w:cstheme="minorHAnsi"/>
          <w:b/>
          <w:bCs/>
          <w:color w:val="000000"/>
          <w:lang w:eastAsia="es-CO"/>
        </w:rPr>
        <w:t xml:space="preserve"> de refuerzo</w:t>
      </w:r>
    </w:p>
    <w:p w14:paraId="7784060E" w14:textId="77777777" w:rsidR="00EF46D9" w:rsidRPr="00547AF9" w:rsidRDefault="00EF46D9" w:rsidP="008E5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6179"/>
      </w:tblGrid>
      <w:tr w:rsidR="00EF46D9" w:rsidRPr="00547AF9" w14:paraId="08947DD4" w14:textId="77777777" w:rsidTr="00E43EF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94737" w14:textId="77777777" w:rsidR="00EF46D9" w:rsidRPr="00547AF9" w:rsidRDefault="00EF46D9" w:rsidP="00E43EFA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Nombre del reto: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DD3D5" w14:textId="77777777" w:rsidR="00EF46D9" w:rsidRPr="00547AF9" w:rsidRDefault="00EF46D9" w:rsidP="00E43EFA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Clasificación de nódulos tiroideos y acciones a tomar</w:t>
            </w:r>
          </w:p>
        </w:tc>
      </w:tr>
      <w:tr w:rsidR="00EF46D9" w:rsidRPr="00547AF9" w14:paraId="176E5E9A" w14:textId="77777777" w:rsidTr="00E43EFA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98489" w14:textId="77777777" w:rsidR="00EF46D9" w:rsidRPr="00547AF9" w:rsidRDefault="00EF46D9" w:rsidP="00E43EFA">
            <w:pPr>
              <w:spacing w:after="0" w:line="240" w:lineRule="auto"/>
              <w:jc w:val="center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Descripción del reto con su respectiva solución:</w:t>
            </w:r>
          </w:p>
        </w:tc>
      </w:tr>
      <w:tr w:rsidR="00EF46D9" w:rsidRPr="00547AF9" w14:paraId="3F56DBD4" w14:textId="77777777" w:rsidTr="00E43EFA">
        <w:trPr>
          <w:trHeight w:val="253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003D4" w14:textId="77777777" w:rsidR="00EF46D9" w:rsidRPr="00547AF9" w:rsidRDefault="00EF46D9" w:rsidP="00E43EFA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En el año 2015, los líderes mundiales adoptaron un conjunto de objetivos globales para erradicar la pobreza, proteger el planeta y asegurar la prosperidad para todos como parte de una nueva agenda de desarrollo sostenible. La buena salud es esencial para el desarrollo sostenible, y la Agenda 2030 busca reforzar la capacidad de todos los países, en particular los países en desarrollo, en materia de la alerta temprana, reducción de riesgos y gestión de los riesgos para la salud nacional y mundial.</w:t>
            </w:r>
          </w:p>
          <w:p w14:paraId="4D0F933D" w14:textId="77777777" w:rsidR="00EF46D9" w:rsidRPr="00547AF9" w:rsidRDefault="00EF46D9" w:rsidP="00E43EFA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El TI-RADS (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Thyroid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Imaging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Reporting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and Data </w:t>
            </w:r>
            <w:proofErr w:type="spellStart"/>
            <w:r w:rsidRPr="00547AF9">
              <w:rPr>
                <w:rFonts w:eastAsia="Times New Roman" w:cstheme="minorHAnsi"/>
                <w:color w:val="000000"/>
                <w:lang w:eastAsia="es-CO"/>
              </w:rPr>
              <w:t>Systems</w:t>
            </w:r>
            <w:proofErr w:type="spellEnd"/>
            <w:r w:rsidRPr="00547AF9">
              <w:rPr>
                <w:rFonts w:eastAsia="Times New Roman" w:cstheme="minorHAnsi"/>
                <w:color w:val="000000"/>
                <w:lang w:eastAsia="es-CO"/>
              </w:rPr>
              <w:t>) es una prueba para la clasificación de nódulos tiroideos. Basándose en cinco características de los nodos como lo son la composición, ecogenicidad, forma márgenes y focos ecogénicos. Cada característica tiene un puntaje y según el total de punto se describe si el nódulo es benigno o no y, además, si requiere seguimiento o intervención con aguja fina.</w:t>
            </w:r>
          </w:p>
          <w:p w14:paraId="69905FFA" w14:textId="77777777" w:rsidR="00EF46D9" w:rsidRPr="00547AF9" w:rsidRDefault="00EF46D9" w:rsidP="00E43EFA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El Ministerio de Salud le pide que lo ayude en el desarrollo de un programa para la emisión de alertas tempranas </w:t>
            </w:r>
            <w:proofErr w:type="gramStart"/>
            <w:r w:rsidRPr="00547AF9">
              <w:rPr>
                <w:rFonts w:eastAsia="Times New Roman" w:cstheme="minorHAnsi"/>
                <w:color w:val="000000"/>
                <w:lang w:eastAsia="es-CO"/>
              </w:rPr>
              <w:t>de acuerdo a</w:t>
            </w:r>
            <w:proofErr w:type="gramEnd"/>
            <w:r w:rsidRPr="00547AF9">
              <w:rPr>
                <w:rFonts w:eastAsia="Times New Roman" w:cstheme="minorHAnsi"/>
                <w:color w:val="000000"/>
                <w:lang w:eastAsia="es-CO"/>
              </w:rPr>
              <w:t xml:space="preserve"> las características del nodo. Para ello debe tener en cuenta las tablas siguientes:</w:t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4568"/>
              <w:gridCol w:w="906"/>
            </w:tblGrid>
            <w:tr w:rsidR="00EF46D9" w:rsidRPr="00547AF9" w14:paraId="537F0A5E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BEF9B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Composición</w:t>
                  </w:r>
                </w:p>
              </w:tc>
            </w:tr>
            <w:tr w:rsidR="00EF46D9" w:rsidRPr="00547AF9" w14:paraId="44FD8CE8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BBDA206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EF46D9" w:rsidRPr="00547AF9" w14:paraId="2F83D635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137A1F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40C8EF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C695237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EF46D9" w:rsidRPr="00547AF9" w14:paraId="4ABE82B1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BD7B01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24C7B4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Puntos quísticos o casi completamente quísticos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0E256C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F46D9" w:rsidRPr="00547AF9" w14:paraId="57145CA5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A88DB5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50FE38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Espongiforme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8357D4B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F46D9" w:rsidRPr="00547AF9" w14:paraId="562BCD1F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32FAD6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5CDB5DE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Mixto quístico y sólido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C6BC20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EF46D9" w:rsidRPr="00547AF9" w14:paraId="2C034BF7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6912A0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EFC6155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Sólido o casi completamente sólido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2EF895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</w:tbl>
          <w:p w14:paraId="1586026C" w14:textId="77777777" w:rsidR="00EF46D9" w:rsidRPr="00547AF9" w:rsidRDefault="00EF46D9" w:rsidP="00E43EFA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2314"/>
              <w:gridCol w:w="906"/>
            </w:tblGrid>
            <w:tr w:rsidR="00EF46D9" w:rsidRPr="00547AF9" w14:paraId="142869AB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17ABD8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Ecogenicidad</w:t>
                  </w:r>
                </w:p>
              </w:tc>
            </w:tr>
            <w:tr w:rsidR="00EF46D9" w:rsidRPr="00547AF9" w14:paraId="2A4AC41E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D6A83AF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EF46D9" w:rsidRPr="00547AF9" w14:paraId="0C334536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15269F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B83C57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EFA900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EF46D9" w:rsidRPr="00547AF9" w14:paraId="563A9FAA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5F2E4C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3FC763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Anecoico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D10F0A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F46D9" w:rsidRPr="00547AF9" w14:paraId="5682D5D3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20C1CF8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lastRenderedPageBreak/>
                    <w:t>E2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5C01243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Hiperecoico</w:t>
                  </w:r>
                  <w:proofErr w:type="spellEnd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 xml:space="preserve"> o </w:t>
                  </w: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isoecoico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8968B5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EF46D9" w:rsidRPr="00547AF9" w14:paraId="1CE7F9A1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51D30B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21A5392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Hipoecoico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04C435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EF46D9" w:rsidRPr="00547AF9" w14:paraId="5104FD9A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A604DD7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96D4FF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Muy hipoecoico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47614B3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4781F056" w14:textId="77777777" w:rsidR="00EF46D9" w:rsidRPr="00547AF9" w:rsidRDefault="00EF46D9" w:rsidP="00E43EFA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1961"/>
              <w:gridCol w:w="906"/>
            </w:tblGrid>
            <w:tr w:rsidR="00EF46D9" w:rsidRPr="00547AF9" w14:paraId="671AA268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EDE297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Forma</w:t>
                  </w:r>
                </w:p>
              </w:tc>
            </w:tr>
            <w:tr w:rsidR="00EF46D9" w:rsidRPr="00547AF9" w14:paraId="289E68A0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3D54AAC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EF46D9" w:rsidRPr="00547AF9" w14:paraId="6A8B89E4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20882E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15468B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4029AC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EF46D9" w:rsidRPr="00547AF9" w14:paraId="6F13DDF7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635EAF0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D82BD5F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Más ancho que alto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A7CA96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F46D9" w:rsidRPr="00547AF9" w14:paraId="4B8BD12E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374823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D746D9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Más alto que ancho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CC5CE64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4DE4BF7B" w14:textId="77777777" w:rsidR="00EF46D9" w:rsidRPr="00547AF9" w:rsidRDefault="00EF46D9" w:rsidP="00E43EFA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2345"/>
              <w:gridCol w:w="906"/>
            </w:tblGrid>
            <w:tr w:rsidR="00EF46D9" w:rsidRPr="00547AF9" w14:paraId="25635E80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92AF7E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Margen</w:t>
                  </w:r>
                </w:p>
              </w:tc>
            </w:tr>
            <w:tr w:rsidR="00EF46D9" w:rsidRPr="00547AF9" w14:paraId="0C49DFF8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02D134A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 ESCOGER SOLO UNO</w:t>
                  </w:r>
                </w:p>
              </w:tc>
            </w:tr>
            <w:tr w:rsidR="00EF46D9" w:rsidRPr="00547AF9" w14:paraId="6671B699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921D7BB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25DE1F8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6B2DA6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EF46D9" w:rsidRPr="00547AF9" w14:paraId="266BC9D4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76FE3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03A719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Suave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2E547A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F46D9" w:rsidRPr="00547AF9" w14:paraId="52C1E8D0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2A8703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8A2C05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Bien definido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C7A2EB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F46D9" w:rsidRPr="00547AF9" w14:paraId="73F003D8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40D4C6D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D39DBC6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Lobulado o irregular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FB0FD3D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EF46D9" w:rsidRPr="00547AF9" w14:paraId="134B34A8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9D06AE1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A12BDB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 xml:space="preserve">Extensión </w:t>
                  </w: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extra-tiroidea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11C3C8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472FBF30" w14:textId="77777777" w:rsidR="00EF46D9" w:rsidRPr="00547AF9" w:rsidRDefault="00EF46D9" w:rsidP="00E43EFA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0"/>
              <w:gridCol w:w="4531"/>
              <w:gridCol w:w="906"/>
            </w:tblGrid>
            <w:tr w:rsidR="00EF46D9" w:rsidRPr="00547AF9" w14:paraId="0FE072B6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DC66A15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Focos ecogénicos</w:t>
                  </w:r>
                </w:p>
              </w:tc>
            </w:tr>
            <w:tr w:rsidR="00EF46D9" w:rsidRPr="00547AF9" w14:paraId="21084FA2" w14:textId="77777777" w:rsidTr="00E43EFA">
              <w:trPr>
                <w:trHeight w:val="420"/>
                <w:jc w:val="center"/>
              </w:trPr>
              <w:tc>
                <w:tcPr>
                  <w:tcW w:w="0" w:type="auto"/>
                  <w:gridSpan w:val="3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9D63BE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FF0000"/>
                      <w:lang w:eastAsia="es-CO"/>
                    </w:rPr>
                    <w:t>SE DEBEN SELECCIONAR TODOS LOS QUE APLIQUEN</w:t>
                  </w:r>
                </w:p>
              </w:tc>
            </w:tr>
            <w:tr w:rsidR="00EF46D9" w:rsidRPr="00547AF9" w14:paraId="4E514E9C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6E3CAFF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Código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BEF8DF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Clasificación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0267488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Puntaje</w:t>
                  </w:r>
                </w:p>
              </w:tc>
            </w:tr>
            <w:tr w:rsidR="00EF46D9" w:rsidRPr="00547AF9" w14:paraId="7DFAA636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041A245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FB049D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Ninguno o grandes artefactos en cola de cometa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8ECC2D2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</w:t>
                  </w:r>
                </w:p>
              </w:tc>
            </w:tr>
            <w:tr w:rsidR="00EF46D9" w:rsidRPr="00547AF9" w14:paraId="74EC8BED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C7611A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2E4E31B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proofErr w:type="spellStart"/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Macrocalcificaciones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E979A6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1</w:t>
                  </w:r>
                </w:p>
              </w:tc>
            </w:tr>
            <w:tr w:rsidR="00EF46D9" w:rsidRPr="00547AF9" w14:paraId="40932DCD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1C0ECE6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14D1064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Calcificaciones periféricas (borde)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47AA831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EF46D9" w:rsidRPr="00547AF9" w14:paraId="63F26D49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950EEAE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FE4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0E187EA" w14:textId="77777777" w:rsidR="00EF46D9" w:rsidRPr="00547AF9" w:rsidRDefault="00EF46D9" w:rsidP="00E43EFA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Focos ecogénicos punteados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727FBC4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3</w:t>
                  </w:r>
                </w:p>
              </w:tc>
            </w:tr>
          </w:tbl>
          <w:p w14:paraId="6657769D" w14:textId="77777777" w:rsidR="00EF46D9" w:rsidRPr="00547AF9" w:rsidRDefault="00EF46D9" w:rsidP="00E43EFA">
            <w:pPr>
              <w:spacing w:after="0" w:line="240" w:lineRule="auto"/>
              <w:rPr>
                <w:rFonts w:eastAsia="Times New Roman" w:cstheme="minorHAnsi"/>
                <w:lang w:eastAsia="es-CO"/>
              </w:rPr>
            </w:pPr>
          </w:p>
          <w:p w14:paraId="446E50DB" w14:textId="77777777" w:rsidR="00EF46D9" w:rsidRPr="00547AF9" w:rsidRDefault="00EF46D9" w:rsidP="00E43EFA">
            <w:pPr>
              <w:spacing w:after="240" w:line="240" w:lineRule="auto"/>
              <w:jc w:val="both"/>
              <w:rPr>
                <w:rFonts w:eastAsia="Times New Roman" w:cstheme="minorHAnsi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Después de calculado el puntaje la clasificación de los nódulos es la siguiente:</w:t>
            </w:r>
          </w:p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7"/>
              <w:gridCol w:w="1385"/>
              <w:gridCol w:w="1988"/>
              <w:gridCol w:w="2229"/>
              <w:gridCol w:w="1909"/>
            </w:tblGrid>
            <w:tr w:rsidR="00EF46D9" w:rsidRPr="00547AF9" w14:paraId="7B815130" w14:textId="77777777" w:rsidTr="00E43EF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720CA02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0 - 1 puntos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FF29083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2 puntos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9EA6A4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 xml:space="preserve"> 3 puntos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6BAC21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4 - 6 puntos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9B763ED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7 o más</w:t>
                  </w:r>
                </w:p>
              </w:tc>
            </w:tr>
            <w:tr w:rsidR="00EF46D9" w:rsidRPr="00547AF9" w14:paraId="2719CBF6" w14:textId="77777777" w:rsidTr="00E43EF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B149354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Benigno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F64BEC7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No sospechoso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6F7BA26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Levemente sospechoso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AD262F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Moderadamente sospechoso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59EC5DF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Altamente sospechoso</w:t>
                  </w:r>
                </w:p>
              </w:tc>
            </w:tr>
            <w:tr w:rsidR="00EF46D9" w:rsidRPr="00547AF9" w14:paraId="3D3DC15E" w14:textId="77777777" w:rsidTr="00E43EFA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3B26EF1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No AAF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F56CD7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No AAF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0155E19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AAF si tamaño ≥ 2.5</w:t>
                  </w:r>
                </w:p>
                <w:p w14:paraId="1EC78EF8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Seguimiento si tamaño &lt; 2.5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C4882C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AAF si tamaño ≥ 1.5</w:t>
                  </w:r>
                </w:p>
                <w:p w14:paraId="56A8F625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Seguimiento si tamaño &lt; 1.5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AF7D471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AAF si tamaño ≥ 1</w:t>
                  </w:r>
                </w:p>
                <w:p w14:paraId="009DB537" w14:textId="77777777" w:rsidR="00EF46D9" w:rsidRPr="00547AF9" w:rsidRDefault="00EF46D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color w:val="000000"/>
                      <w:lang w:eastAsia="es-CO"/>
                    </w:rPr>
                    <w:t>Seguimiento si tamaño &lt; 1</w:t>
                  </w:r>
                </w:p>
              </w:tc>
            </w:tr>
          </w:tbl>
          <w:p w14:paraId="05300A72" w14:textId="77777777" w:rsidR="00EF46D9" w:rsidRPr="005A0901" w:rsidRDefault="00EF46D9" w:rsidP="00E43EFA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547AF9">
              <w:rPr>
                <w:rFonts w:eastAsia="Times New Roman" w:cstheme="minorHAnsi"/>
                <w:color w:val="000000"/>
                <w:lang w:eastAsia="es-CO"/>
              </w:rPr>
              <w:t>** AAF = aspiración con aguja fina</w:t>
            </w:r>
            <w:r>
              <w:rPr>
                <w:rFonts w:eastAsia="Times New Roman" w:cstheme="minorHAnsi"/>
                <w:color w:val="000000"/>
                <w:lang w:eastAsia="es-CO"/>
              </w:rPr>
              <w:t>l.</w:t>
            </w:r>
          </w:p>
          <w:p w14:paraId="58DA05DE" w14:textId="4B7C09C4" w:rsidR="00CD3FBB" w:rsidRDefault="00CD3FBB" w:rsidP="00CD3FBB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El programa deberá entonces:</w:t>
            </w:r>
          </w:p>
          <w:p w14:paraId="708F83CF" w14:textId="350A7F2C" w:rsidR="00CD3FBB" w:rsidRPr="00CD3FBB" w:rsidRDefault="00CD3FBB" w:rsidP="00CD3FBB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Leer</w:t>
            </w:r>
            <w:r w:rsidR="0088206D">
              <w:rPr>
                <w:rFonts w:eastAsia="Times New Roman" w:cstheme="minorHAnsi"/>
                <w:color w:val="000000"/>
                <w:lang w:eastAsia="es-CO"/>
              </w:rPr>
              <w:t xml:space="preserve"> una variable N que indique el número de pacientes que se analizarán</w:t>
            </w:r>
          </w:p>
          <w:p w14:paraId="5B567088" w14:textId="3078C5D3" w:rsidR="00CD3FBB" w:rsidRDefault="0088206D" w:rsidP="00CD3FBB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Leer los datos de los N pacientes. Siempre serán 9 características por pacientes. Es decir, la matriz será de N x 9.</w:t>
            </w:r>
          </w:p>
          <w:p w14:paraId="3F8CF6C8" w14:textId="520E18A4" w:rsidR="00BB79ED" w:rsidRDefault="0088206D" w:rsidP="00BB79ED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Calcular un vector con las alertas de los nódulos de cada paciente</w:t>
            </w:r>
          </w:p>
          <w:p w14:paraId="008F9EBC" w14:textId="5FF4E748" w:rsidR="00BB79ED" w:rsidRPr="00BB79ED" w:rsidRDefault="0088206D" w:rsidP="00BB79ED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Calcular un vector con los tratamientos que requieren cada paciente</w:t>
            </w:r>
          </w:p>
          <w:p w14:paraId="34F76246" w14:textId="75BE978C" w:rsidR="00AB3449" w:rsidRDefault="0088206D" w:rsidP="00CD3FBB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Imprimir cada elemento del vector de alertas en una línea nueva</w:t>
            </w:r>
          </w:p>
          <w:p w14:paraId="2BC8B9CF" w14:textId="45257509" w:rsidR="0088206D" w:rsidRPr="00CD3FBB" w:rsidRDefault="0088206D" w:rsidP="00CD3FBB">
            <w:pPr>
              <w:pStyle w:val="Prrafodelista"/>
              <w:numPr>
                <w:ilvl w:val="0"/>
                <w:numId w:val="2"/>
              </w:num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Imprimir cada elemento del vector de tratamientos en una línea nueva</w:t>
            </w:r>
          </w:p>
          <w:p w14:paraId="7FDF6B63" w14:textId="77777777" w:rsidR="00EF46D9" w:rsidRPr="006978F8" w:rsidRDefault="00EF46D9" w:rsidP="006978F8">
            <w:pPr>
              <w:spacing w:after="240" w:line="240" w:lineRule="auto"/>
              <w:jc w:val="both"/>
              <w:rPr>
                <w:rFonts w:eastAsia="Times New Roman" w:cstheme="minorHAnsi"/>
                <w:color w:val="000000"/>
                <w:lang w:eastAsia="es-CO"/>
              </w:rPr>
            </w:pPr>
            <w:r w:rsidRPr="006978F8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Ejemplos:</w:t>
            </w: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9"/>
            </w:tblGrid>
            <w:tr w:rsidR="00AB3449" w:rsidRPr="00547AF9" w14:paraId="20C8011C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927A9B4" w14:textId="77777777" w:rsidR="00AB3449" w:rsidRPr="00547AF9" w:rsidRDefault="00AB344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lang w:eastAsia="es-CO"/>
                    </w:rPr>
                  </w:pPr>
                  <w:r w:rsidRPr="00547AF9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Entrada esperada</w:t>
                  </w:r>
                </w:p>
              </w:tc>
            </w:tr>
            <w:tr w:rsidR="00AB3449" w:rsidRPr="00547AF9" w14:paraId="2773D17C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3DF4233" w14:textId="77777777" w:rsidR="00AB3449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3</w:t>
                  </w:r>
                </w:p>
                <w:p w14:paraId="3AA9475B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C1 </w:t>
                  </w:r>
                </w:p>
                <w:p w14:paraId="626D8107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E1 </w:t>
                  </w:r>
                </w:p>
                <w:p w14:paraId="62184F04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F2 </w:t>
                  </w:r>
                </w:p>
                <w:p w14:paraId="5A9A8D32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M3 </w:t>
                  </w:r>
                </w:p>
                <w:p w14:paraId="68F52DE2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6C6DCCC8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40F50776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1D10F786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16FB6CC1" w14:textId="132C143C" w:rsidR="00AB3449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2 </w:t>
                  </w:r>
                </w:p>
                <w:p w14:paraId="76B4378D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C1 </w:t>
                  </w:r>
                </w:p>
                <w:p w14:paraId="5074F411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E1 </w:t>
                  </w:r>
                </w:p>
                <w:p w14:paraId="4820145E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F1</w:t>
                  </w:r>
                </w:p>
                <w:p w14:paraId="50B8FB4D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M1 </w:t>
                  </w:r>
                </w:p>
                <w:p w14:paraId="47A539FD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45DA2C43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16B1BA23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1</w:t>
                  </w:r>
                </w:p>
                <w:p w14:paraId="6BA5708D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0</w:t>
                  </w:r>
                </w:p>
                <w:p w14:paraId="4687F3DE" w14:textId="44DBB34E" w:rsidR="00AB3449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1</w:t>
                  </w:r>
                </w:p>
                <w:p w14:paraId="66CD0C47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C1 </w:t>
                  </w:r>
                </w:p>
                <w:p w14:paraId="7FE7418D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lastRenderedPageBreak/>
                    <w:t xml:space="preserve">E1 </w:t>
                  </w:r>
                </w:p>
                <w:p w14:paraId="2AE490C8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F1 </w:t>
                  </w:r>
                </w:p>
                <w:p w14:paraId="2E57AE10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M1 </w:t>
                  </w:r>
                </w:p>
                <w:p w14:paraId="222986EC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1425FA72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430563A3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7641B315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68A357A0" w14:textId="40CC3CB5" w:rsidR="00AB3449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AB3449" w:rsidRPr="00547AF9" w14:paraId="4B5C7BF7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7F9AA5" w14:textId="535019ED" w:rsidR="00AB3449" w:rsidRDefault="00AB3449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lastRenderedPageBreak/>
                    <w:t>Salida esperada</w:t>
                  </w:r>
                </w:p>
              </w:tc>
            </w:tr>
            <w:tr w:rsidR="00AB3449" w:rsidRPr="00547AF9" w14:paraId="421E37D0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95B5C6" w14:textId="4E3AB29B" w:rsidR="0088206D" w:rsidRPr="0088206D" w:rsidRDefault="006E42DB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moderadamente sospechoso</w:t>
                  </w:r>
                </w:p>
                <w:p w14:paraId="62F8BA37" w14:textId="77777777" w:rsidR="0088206D" w:rsidRPr="0088206D" w:rsidRDefault="0088206D" w:rsidP="0088206D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levemente sospechoso</w:t>
                  </w:r>
                </w:p>
                <w:p w14:paraId="3CE2C6FD" w14:textId="05D61B6B" w:rsidR="0088206D" w:rsidRPr="0088206D" w:rsidRDefault="0088206D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benigno</w:t>
                  </w:r>
                </w:p>
                <w:p w14:paraId="2A1FDED1" w14:textId="365E454F" w:rsidR="006E42DB" w:rsidRPr="0088206D" w:rsidRDefault="006E42DB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proofErr w:type="spellStart"/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aaf</w:t>
                  </w:r>
                  <w:proofErr w:type="spellEnd"/>
                </w:p>
                <w:p w14:paraId="23B3B24C" w14:textId="33137364" w:rsidR="006E42DB" w:rsidRPr="0088206D" w:rsidRDefault="006E42DB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seguimiento</w:t>
                  </w:r>
                </w:p>
                <w:p w14:paraId="5D452EB8" w14:textId="2E86FDF5" w:rsidR="00AB3449" w:rsidRPr="0088206D" w:rsidRDefault="006E42DB" w:rsidP="006E42D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no </w:t>
                  </w:r>
                  <w:proofErr w:type="spellStart"/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aaf</w:t>
                  </w:r>
                  <w:proofErr w:type="spellEnd"/>
                </w:p>
              </w:tc>
            </w:tr>
            <w:tr w:rsidR="006E42DB" w:rsidRPr="00547AF9" w14:paraId="085352C2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2714BC" w14:textId="3964A7C0" w:rsidR="006E42DB" w:rsidRPr="006E42DB" w:rsidRDefault="006E42DB" w:rsidP="006E42DB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</w:pPr>
                  <w:r w:rsidRPr="006E42DB"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Entrada esperada</w:t>
                  </w:r>
                </w:p>
              </w:tc>
            </w:tr>
            <w:tr w:rsidR="00AB3449" w:rsidRPr="00547AF9" w14:paraId="4C14F1B9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1385C0A" w14:textId="77777777" w:rsidR="00AB3449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2</w:t>
                  </w:r>
                </w:p>
                <w:p w14:paraId="09169109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C1 </w:t>
                  </w:r>
                </w:p>
                <w:p w14:paraId="0154B49B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E1 </w:t>
                  </w:r>
                </w:p>
                <w:p w14:paraId="29D75FB5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F1 </w:t>
                  </w:r>
                </w:p>
                <w:p w14:paraId="2136B359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M1 </w:t>
                  </w:r>
                </w:p>
                <w:p w14:paraId="589712C0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2FC5895C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751FDBEF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19B5A766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0 </w:t>
                  </w:r>
                </w:p>
                <w:p w14:paraId="0A2FA4E2" w14:textId="62455AB4" w:rsidR="00AB3449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1</w:t>
                  </w:r>
                </w:p>
                <w:p w14:paraId="04285558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C4 </w:t>
                  </w:r>
                </w:p>
                <w:p w14:paraId="41807121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E4 </w:t>
                  </w:r>
                </w:p>
                <w:p w14:paraId="236A4171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F2 </w:t>
                  </w:r>
                </w:p>
                <w:p w14:paraId="1D9C8A36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M4 </w:t>
                  </w:r>
                </w:p>
                <w:p w14:paraId="5458CC0A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0CF0B3DB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2872F02F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0D692377" w14:textId="77777777" w:rsidR="0088206D" w:rsidRPr="0088206D" w:rsidRDefault="00AB3449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 xml:space="preserve">1 </w:t>
                  </w:r>
                </w:p>
                <w:p w14:paraId="60D51CE2" w14:textId="5C74F1B2" w:rsidR="00AB3449" w:rsidRPr="00547AF9" w:rsidRDefault="00AB3449" w:rsidP="006E42DB">
                  <w:pPr>
                    <w:spacing w:after="0" w:line="240" w:lineRule="auto"/>
                    <w:rPr>
                      <w:rFonts w:eastAsia="Times New Roman" w:cstheme="minorHAnsi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2</w:t>
                  </w:r>
                </w:p>
              </w:tc>
            </w:tr>
            <w:tr w:rsidR="006E42DB" w:rsidRPr="00547AF9" w14:paraId="02F1B0EA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488A63" w14:textId="46FF4343" w:rsidR="006E42DB" w:rsidRDefault="006E42DB" w:rsidP="00E43EFA">
                  <w:pPr>
                    <w:spacing w:after="0" w:line="240" w:lineRule="auto"/>
                    <w:jc w:val="center"/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  <w:t>Salida esperada</w:t>
                  </w:r>
                </w:p>
              </w:tc>
            </w:tr>
            <w:tr w:rsidR="006E42DB" w:rsidRPr="00547AF9" w14:paraId="0E4495E7" w14:textId="77777777" w:rsidTr="00E43EFA">
              <w:trPr>
                <w:jc w:val="center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A5ACA2" w14:textId="44F0683F" w:rsidR="006E42DB" w:rsidRPr="0088206D" w:rsidRDefault="006E42DB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levemente sospechoso</w:t>
                  </w:r>
                </w:p>
                <w:p w14:paraId="68DC8F20" w14:textId="7EC602A5" w:rsidR="006E42DB" w:rsidRPr="0088206D" w:rsidRDefault="006E42DB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altamente sospechoso</w:t>
                  </w:r>
                </w:p>
                <w:p w14:paraId="5509F788" w14:textId="77777777" w:rsidR="006E42DB" w:rsidRPr="0088206D" w:rsidRDefault="0088206D" w:rsidP="006E42DB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</w:pPr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seguimiento</w:t>
                  </w:r>
                </w:p>
                <w:p w14:paraId="08F3DBD1" w14:textId="40BF1CF0" w:rsidR="0088206D" w:rsidRDefault="0088206D" w:rsidP="006E42DB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lang w:eastAsia="es-CO"/>
                    </w:rPr>
                  </w:pPr>
                  <w:proofErr w:type="spellStart"/>
                  <w:r w:rsidRPr="0088206D">
                    <w:rPr>
                      <w:rFonts w:ascii="Courier New" w:eastAsia="Times New Roman" w:hAnsi="Courier New" w:cs="Courier New"/>
                      <w:color w:val="000000"/>
                      <w:lang w:eastAsia="es-CO"/>
                    </w:rPr>
                    <w:t>aaf</w:t>
                  </w:r>
                  <w:proofErr w:type="spellEnd"/>
                </w:p>
              </w:tc>
            </w:tr>
          </w:tbl>
          <w:p w14:paraId="0544E6CC" w14:textId="7739173F" w:rsidR="00EF46D9" w:rsidRPr="00547AF9" w:rsidRDefault="00EF46D9" w:rsidP="00BF07FC">
            <w:pPr>
              <w:spacing w:after="0" w:line="240" w:lineRule="auto"/>
              <w:jc w:val="both"/>
              <w:rPr>
                <w:rFonts w:eastAsia="Times New Roman" w:cstheme="minorHAnsi"/>
                <w:lang w:eastAsia="es-CO"/>
              </w:rPr>
            </w:pPr>
          </w:p>
        </w:tc>
      </w:tr>
    </w:tbl>
    <w:p w14:paraId="023C24F1" w14:textId="77777777" w:rsidR="00EF46D9" w:rsidRDefault="00EF46D9" w:rsidP="008E5D7D"/>
    <w:sectPr w:rsidR="00EF46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77D0D"/>
    <w:multiLevelType w:val="hybridMultilevel"/>
    <w:tmpl w:val="997E25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33431"/>
    <w:multiLevelType w:val="hybridMultilevel"/>
    <w:tmpl w:val="0480E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2E38"/>
    <w:multiLevelType w:val="hybridMultilevel"/>
    <w:tmpl w:val="CBF61A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CE"/>
    <w:rsid w:val="00616AB3"/>
    <w:rsid w:val="006E42DB"/>
    <w:rsid w:val="0088206D"/>
    <w:rsid w:val="00900476"/>
    <w:rsid w:val="00AB3449"/>
    <w:rsid w:val="00AD4B84"/>
    <w:rsid w:val="00B74869"/>
    <w:rsid w:val="00B93137"/>
    <w:rsid w:val="00BA1C90"/>
    <w:rsid w:val="00BB79ED"/>
    <w:rsid w:val="00CD3FBB"/>
    <w:rsid w:val="00CE2167"/>
    <w:rsid w:val="00D74A74"/>
    <w:rsid w:val="00EF46D9"/>
    <w:rsid w:val="00FD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507C0"/>
  <w15:chartTrackingRefBased/>
  <w15:docId w15:val="{D3104DD7-DC71-415E-BD43-46C8988A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46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3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Jaime De Jesus Corro Pareja</dc:creator>
  <cp:keywords/>
  <dc:description/>
  <cp:lastModifiedBy>Jhon Jaime De Jesus Corro Pareja</cp:lastModifiedBy>
  <cp:revision>9</cp:revision>
  <dcterms:created xsi:type="dcterms:W3CDTF">2021-06-04T01:23:00Z</dcterms:created>
  <dcterms:modified xsi:type="dcterms:W3CDTF">2021-07-30T16:44:00Z</dcterms:modified>
</cp:coreProperties>
</file>