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6F0077CF" w:rsidR="00667C88" w:rsidRPr="00787C53" w:rsidRDefault="00A83A39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Linares Joseph</w:t>
      </w:r>
      <w:r w:rsidR="00A74C44" w:rsidRPr="00787C53">
        <w:rPr>
          <w:noProof w:val="0"/>
          <w:lang w:val="es-CO"/>
        </w:rPr>
        <w:t xml:space="preserve"> Cod </w:t>
      </w:r>
      <w:r>
        <w:rPr>
          <w:noProof w:val="0"/>
          <w:lang w:val="es-CO"/>
        </w:rPr>
        <w:t>202111887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54467D2" w14:textId="17FD2405" w:rsidR="00B744F1" w:rsidRDefault="00B744F1" w:rsidP="00B744F1">
      <w:pPr>
        <w:pStyle w:val="Prrafodelista"/>
        <w:numPr>
          <w:ilvl w:val="0"/>
          <w:numId w:val="17"/>
        </w:numPr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instrucción se usa para cambiar el límite de recursión de Python?</w:t>
      </w:r>
    </w:p>
    <w:p w14:paraId="03B8560B" w14:textId="6360801F" w:rsidR="00B744F1" w:rsidRDefault="00A34803" w:rsidP="00A74B65">
      <w:pPr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función que permite el cambio en el limite de recursión es la escrita en la linea </w:t>
      </w:r>
      <w:r w:rsidR="00DF5BFC">
        <w:rPr>
          <w:rFonts w:ascii="Dax-Regular" w:hAnsi="Dax-Regular"/>
          <w:lang w:val="es-419"/>
        </w:rPr>
        <w:t>158 del view.py.</w:t>
      </w:r>
    </w:p>
    <w:p w14:paraId="08200852" w14:textId="61291A14" w:rsidR="008A0E86" w:rsidRDefault="008A0E86" w:rsidP="00B744F1">
      <w:pPr>
        <w:jc w:val="both"/>
        <w:rPr>
          <w:rFonts w:ascii="Dax-Regular" w:hAnsi="Dax-Regular"/>
          <w:lang w:val="es-419"/>
        </w:rPr>
      </w:pPr>
      <w:r w:rsidRPr="008A0E86">
        <w:rPr>
          <w:rFonts w:ascii="Dax-Regular" w:hAnsi="Dax-Regular"/>
          <w:lang w:val="es-419"/>
        </w:rPr>
        <w:drawing>
          <wp:inline distT="0" distB="0" distL="0" distR="0" wp14:anchorId="74045E41" wp14:editId="66A0D221">
            <wp:extent cx="3718882" cy="20575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67A8" w14:textId="77777777" w:rsidR="00DA0762" w:rsidRPr="00B744F1" w:rsidRDefault="00DA0762" w:rsidP="00B744F1">
      <w:pPr>
        <w:jc w:val="both"/>
        <w:rPr>
          <w:rFonts w:ascii="Dax-Regular" w:hAnsi="Dax-Regular"/>
          <w:lang w:val="es-419"/>
        </w:rPr>
      </w:pPr>
    </w:p>
    <w:p w14:paraId="5CAAA974" w14:textId="60DFB028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¿Por qué considera que se debe hacer este cambio?</w:t>
      </w:r>
    </w:p>
    <w:p w14:paraId="72A7A16F" w14:textId="4BA04B20" w:rsidR="00B744F1" w:rsidRPr="008A0E86" w:rsidRDefault="00991A33" w:rsidP="00A74B65">
      <w:pPr>
        <w:ind w:firstLine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Es necesario realizar este cambio </w:t>
      </w:r>
      <w:r w:rsidR="002D5B46">
        <w:rPr>
          <w:rFonts w:ascii="Dax-Regular" w:hAnsi="Dax-Regular"/>
          <w:lang w:val="es-419"/>
        </w:rPr>
        <w:t>pues en el caso que creemos algun tipo de función sin ningun tipo de caso base</w:t>
      </w:r>
      <w:r w:rsidR="002A67CE">
        <w:rPr>
          <w:rFonts w:ascii="Dax-Regular" w:hAnsi="Dax-Regular"/>
          <w:lang w:val="es-419"/>
        </w:rPr>
        <w:t xml:space="preserve"> estaria potenciando un bucle infinito el cual usaria la finita capacidad de la memoria de los computadores.</w:t>
      </w:r>
      <w:r w:rsidR="00F42D65">
        <w:rPr>
          <w:rFonts w:ascii="Dax-Regular" w:hAnsi="Dax-Regular"/>
          <w:lang w:val="es-419"/>
        </w:rPr>
        <w:t xml:space="preserve"> Ademas, en el caso de que se necesite una recursividad mayor al limite esta nunca seria alcanzada.</w:t>
      </w:r>
    </w:p>
    <w:p w14:paraId="45AF56F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75A0C38" w14:textId="54A03E80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valor inicial que tiene Python cómo límite de recursión?</w:t>
      </w:r>
    </w:p>
    <w:p w14:paraId="228AA1BF" w14:textId="04062021" w:rsidR="004527C8" w:rsidRPr="004527C8" w:rsidRDefault="00A74B65" w:rsidP="00EB1145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Usualmente</w:t>
      </w:r>
      <w:r w:rsidR="00EB1145">
        <w:rPr>
          <w:rFonts w:ascii="Dax-Regular" w:hAnsi="Dax-Regular"/>
          <w:lang w:val="es-419"/>
        </w:rPr>
        <w:t>,</w:t>
      </w:r>
      <w:r w:rsidR="00EB1145">
        <w:rPr>
          <w:rFonts w:ascii="Dax-Regular" w:hAnsi="Dax-Regular"/>
          <w:lang w:val="es-419"/>
        </w:rPr>
        <w:t xml:space="preserve"> </w:t>
      </w:r>
      <w:r w:rsidR="00EB1145">
        <w:rPr>
          <w:rFonts w:ascii="Dax-Regular" w:hAnsi="Dax-Regular"/>
          <w:lang w:val="es-419"/>
        </w:rPr>
        <w:t>en python,</w:t>
      </w:r>
      <w:r>
        <w:rPr>
          <w:rFonts w:ascii="Dax-Regular" w:hAnsi="Dax-Regular"/>
          <w:lang w:val="es-419"/>
        </w:rPr>
        <w:t xml:space="preserve"> el limite </w:t>
      </w:r>
      <w:r w:rsidR="00067C73">
        <w:rPr>
          <w:rFonts w:ascii="Dax-Regular" w:hAnsi="Dax-Regular"/>
          <w:lang w:val="es-419"/>
        </w:rPr>
        <w:t>que una función recursiva</w:t>
      </w:r>
      <w:r w:rsidR="00EB1145">
        <w:rPr>
          <w:rFonts w:ascii="Dax-Regular" w:hAnsi="Dax-Regular"/>
          <w:lang w:val="es-419"/>
        </w:rPr>
        <w:t xml:space="preserve"> </w:t>
      </w:r>
      <w:r w:rsidR="00067C73">
        <w:rPr>
          <w:rFonts w:ascii="Dax-Regular" w:hAnsi="Dax-Regular"/>
          <w:lang w:val="es-419"/>
        </w:rPr>
        <w:t>puede llamar</w:t>
      </w:r>
      <w:r w:rsidR="00EB1145">
        <w:rPr>
          <w:rFonts w:ascii="Dax-Regular" w:hAnsi="Dax-Regular"/>
          <w:lang w:val="es-419"/>
        </w:rPr>
        <w:t>se</w:t>
      </w:r>
      <w:r w:rsidR="00067C73">
        <w:rPr>
          <w:rFonts w:ascii="Dax-Regular" w:hAnsi="Dax-Regular"/>
          <w:lang w:val="es-419"/>
        </w:rPr>
        <w:t xml:space="preserve"> si misma es de 1000</w:t>
      </w:r>
      <w:r w:rsidR="00EB1145">
        <w:rPr>
          <w:rFonts w:ascii="Dax-Regular" w:hAnsi="Dax-Regular"/>
          <w:lang w:val="es-419"/>
        </w:rPr>
        <w:t xml:space="preserve"> </w:t>
      </w:r>
      <w:r w:rsidR="00067C73">
        <w:rPr>
          <w:rFonts w:ascii="Dax-Regular" w:hAnsi="Dax-Regular"/>
          <w:lang w:val="es-419"/>
        </w:rPr>
        <w:t xml:space="preserve">llamadas. </w:t>
      </w:r>
    </w:p>
    <w:p w14:paraId="062F4DF5" w14:textId="77777777" w:rsid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F099904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4937B76" w14:textId="3F10BF34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¿Qué relación creen que existe entre el número de vértices, arcos y el tiempo que toma la operación 4?</w:t>
      </w:r>
    </w:p>
    <w:p w14:paraId="0083FC1F" w14:textId="77777777" w:rsidR="002540EE" w:rsidRDefault="002540EE" w:rsidP="002540EE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tbl>
      <w:tblPr>
        <w:tblStyle w:val="Tablaconcuadrcula"/>
        <w:tblW w:w="10916" w:type="dxa"/>
        <w:tblInd w:w="-780" w:type="dxa"/>
        <w:tblLook w:val="04A0" w:firstRow="1" w:lastRow="0" w:firstColumn="1" w:lastColumn="0" w:noHBand="0" w:noVBand="1"/>
      </w:tblPr>
      <w:tblGrid>
        <w:gridCol w:w="1302"/>
        <w:gridCol w:w="941"/>
        <w:gridCol w:w="941"/>
        <w:gridCol w:w="1053"/>
        <w:gridCol w:w="1053"/>
        <w:gridCol w:w="1053"/>
        <w:gridCol w:w="1164"/>
        <w:gridCol w:w="1164"/>
        <w:gridCol w:w="1053"/>
        <w:gridCol w:w="1192"/>
      </w:tblGrid>
      <w:tr w:rsidR="007E7533" w14:paraId="6AFBEAE7" w14:textId="77777777" w:rsidTr="00BB5086">
        <w:tc>
          <w:tcPr>
            <w:tcW w:w="1302" w:type="dxa"/>
          </w:tcPr>
          <w:p w14:paraId="17349F32" w14:textId="42FA12B5" w:rsidR="006D02B6" w:rsidRDefault="00FC57D6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Bus_routers</w:t>
            </w:r>
          </w:p>
        </w:tc>
        <w:tc>
          <w:tcPr>
            <w:tcW w:w="941" w:type="dxa"/>
          </w:tcPr>
          <w:p w14:paraId="58CC07AC" w14:textId="5F008129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_50</w:t>
            </w:r>
          </w:p>
        </w:tc>
        <w:tc>
          <w:tcPr>
            <w:tcW w:w="941" w:type="dxa"/>
          </w:tcPr>
          <w:p w14:paraId="264F2867" w14:textId="64E5D90D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_150</w:t>
            </w:r>
          </w:p>
        </w:tc>
        <w:tc>
          <w:tcPr>
            <w:tcW w:w="1053" w:type="dxa"/>
          </w:tcPr>
          <w:p w14:paraId="45CDC5DE" w14:textId="576C33D7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_300</w:t>
            </w:r>
          </w:p>
        </w:tc>
        <w:tc>
          <w:tcPr>
            <w:tcW w:w="1053" w:type="dxa"/>
          </w:tcPr>
          <w:p w14:paraId="022CB64F" w14:textId="77315D9A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_1000</w:t>
            </w:r>
          </w:p>
        </w:tc>
        <w:tc>
          <w:tcPr>
            <w:tcW w:w="1053" w:type="dxa"/>
          </w:tcPr>
          <w:p w14:paraId="085AB451" w14:textId="0273123B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_2000</w:t>
            </w:r>
          </w:p>
        </w:tc>
        <w:tc>
          <w:tcPr>
            <w:tcW w:w="1164" w:type="dxa"/>
          </w:tcPr>
          <w:p w14:paraId="1AC44313" w14:textId="129523D8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_3000</w:t>
            </w:r>
          </w:p>
        </w:tc>
        <w:tc>
          <w:tcPr>
            <w:tcW w:w="1164" w:type="dxa"/>
          </w:tcPr>
          <w:p w14:paraId="764DEA7C" w14:textId="58FA9D4F" w:rsidR="006D02B6" w:rsidRDefault="00F32F41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</w:t>
            </w:r>
            <w:r w:rsidR="00FC57D6">
              <w:rPr>
                <w:rFonts w:ascii="Dax-Regular" w:hAnsi="Dax-Regular"/>
                <w:lang w:val="es-419"/>
              </w:rPr>
              <w:t>7000</w:t>
            </w:r>
          </w:p>
        </w:tc>
        <w:tc>
          <w:tcPr>
            <w:tcW w:w="1053" w:type="dxa"/>
          </w:tcPr>
          <w:p w14:paraId="262989A7" w14:textId="572C9CCE" w:rsidR="006D02B6" w:rsidRDefault="00FC57D6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_10000</w:t>
            </w:r>
          </w:p>
        </w:tc>
        <w:tc>
          <w:tcPr>
            <w:tcW w:w="1192" w:type="dxa"/>
          </w:tcPr>
          <w:p w14:paraId="22928B6F" w14:textId="0516543D" w:rsidR="006D02B6" w:rsidRDefault="00FC57D6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_14000</w:t>
            </w:r>
          </w:p>
        </w:tc>
      </w:tr>
      <w:tr w:rsidR="007E7533" w14:paraId="2582F537" w14:textId="77777777" w:rsidTr="00BB5086">
        <w:tc>
          <w:tcPr>
            <w:tcW w:w="1302" w:type="dxa"/>
          </w:tcPr>
          <w:p w14:paraId="5D6F87FE" w14:textId="021C6D87" w:rsidR="006D02B6" w:rsidRDefault="000275A8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#Vertices</w:t>
            </w:r>
          </w:p>
        </w:tc>
        <w:tc>
          <w:tcPr>
            <w:tcW w:w="941" w:type="dxa"/>
          </w:tcPr>
          <w:p w14:paraId="1AC100A7" w14:textId="670EC6C1" w:rsidR="006D02B6" w:rsidRDefault="00267D0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</w:t>
            </w:r>
          </w:p>
        </w:tc>
        <w:tc>
          <w:tcPr>
            <w:tcW w:w="941" w:type="dxa"/>
          </w:tcPr>
          <w:p w14:paraId="7942D74A" w14:textId="5644F2D9" w:rsidR="006D02B6" w:rsidRDefault="00583BE6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053" w:type="dxa"/>
          </w:tcPr>
          <w:p w14:paraId="144A1CCF" w14:textId="4A5DE951" w:rsidR="006D02B6" w:rsidRDefault="003E12E5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295</w:t>
            </w:r>
          </w:p>
        </w:tc>
        <w:tc>
          <w:tcPr>
            <w:tcW w:w="1053" w:type="dxa"/>
          </w:tcPr>
          <w:p w14:paraId="7A3FEC77" w14:textId="10F97BFD" w:rsidR="006D02B6" w:rsidRDefault="00085D70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984</w:t>
            </w:r>
          </w:p>
        </w:tc>
        <w:tc>
          <w:tcPr>
            <w:tcW w:w="1053" w:type="dxa"/>
          </w:tcPr>
          <w:p w14:paraId="015F8513" w14:textId="12872065" w:rsidR="006D02B6" w:rsidRDefault="002A70C2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1954</w:t>
            </w:r>
          </w:p>
        </w:tc>
        <w:tc>
          <w:tcPr>
            <w:tcW w:w="1164" w:type="dxa"/>
          </w:tcPr>
          <w:p w14:paraId="4880D67C" w14:textId="7A272F83" w:rsidR="006D02B6" w:rsidRDefault="006312A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2922</w:t>
            </w:r>
          </w:p>
        </w:tc>
        <w:tc>
          <w:tcPr>
            <w:tcW w:w="1164" w:type="dxa"/>
          </w:tcPr>
          <w:p w14:paraId="11B12FD0" w14:textId="16FDD0EF" w:rsidR="006D02B6" w:rsidRDefault="00295263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6829</w:t>
            </w:r>
          </w:p>
        </w:tc>
        <w:tc>
          <w:tcPr>
            <w:tcW w:w="1053" w:type="dxa"/>
          </w:tcPr>
          <w:p w14:paraId="5583F88E" w14:textId="55827DCA" w:rsidR="006D02B6" w:rsidRDefault="00905920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9767</w:t>
            </w:r>
          </w:p>
        </w:tc>
        <w:tc>
          <w:tcPr>
            <w:tcW w:w="1192" w:type="dxa"/>
          </w:tcPr>
          <w:p w14:paraId="42E3500E" w14:textId="313D9456" w:rsidR="006D02B6" w:rsidRDefault="00BF60D5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13535</w:t>
            </w:r>
          </w:p>
        </w:tc>
      </w:tr>
      <w:tr w:rsidR="007E7533" w14:paraId="53E9D277" w14:textId="77777777" w:rsidTr="00BB5086">
        <w:tc>
          <w:tcPr>
            <w:tcW w:w="1302" w:type="dxa"/>
          </w:tcPr>
          <w:p w14:paraId="2C060770" w14:textId="311556F0" w:rsidR="006D02B6" w:rsidRDefault="000275A8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#Arcos</w:t>
            </w:r>
          </w:p>
        </w:tc>
        <w:tc>
          <w:tcPr>
            <w:tcW w:w="941" w:type="dxa"/>
          </w:tcPr>
          <w:p w14:paraId="7E581FF6" w14:textId="3EDB4A55" w:rsidR="006D02B6" w:rsidRDefault="00267D0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73</w:t>
            </w:r>
          </w:p>
        </w:tc>
        <w:tc>
          <w:tcPr>
            <w:tcW w:w="941" w:type="dxa"/>
          </w:tcPr>
          <w:p w14:paraId="15CF1D20" w14:textId="6D0909F3" w:rsidR="006D02B6" w:rsidRDefault="00583BE6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146</w:t>
            </w:r>
          </w:p>
        </w:tc>
        <w:tc>
          <w:tcPr>
            <w:tcW w:w="1053" w:type="dxa"/>
          </w:tcPr>
          <w:p w14:paraId="459D18BC" w14:textId="4B706965" w:rsidR="006D02B6" w:rsidRDefault="003E12E5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382</w:t>
            </w:r>
          </w:p>
        </w:tc>
        <w:tc>
          <w:tcPr>
            <w:tcW w:w="1053" w:type="dxa"/>
          </w:tcPr>
          <w:p w14:paraId="36CAC268" w14:textId="77B8D322" w:rsidR="006D02B6" w:rsidRDefault="00085D70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1633</w:t>
            </w:r>
          </w:p>
        </w:tc>
        <w:tc>
          <w:tcPr>
            <w:tcW w:w="1053" w:type="dxa"/>
          </w:tcPr>
          <w:p w14:paraId="1B90EF05" w14:textId="55F99CD1" w:rsidR="006D02B6" w:rsidRDefault="002A70C2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3560</w:t>
            </w:r>
          </w:p>
        </w:tc>
        <w:tc>
          <w:tcPr>
            <w:tcW w:w="1164" w:type="dxa"/>
          </w:tcPr>
          <w:p w14:paraId="222E4120" w14:textId="7C566AE1" w:rsidR="006D02B6" w:rsidRDefault="006312A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5773</w:t>
            </w:r>
          </w:p>
        </w:tc>
        <w:tc>
          <w:tcPr>
            <w:tcW w:w="1164" w:type="dxa"/>
          </w:tcPr>
          <w:p w14:paraId="638525D7" w14:textId="4FA41526" w:rsidR="006D02B6" w:rsidRDefault="00295263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15334</w:t>
            </w:r>
          </w:p>
        </w:tc>
        <w:tc>
          <w:tcPr>
            <w:tcW w:w="1053" w:type="dxa"/>
          </w:tcPr>
          <w:p w14:paraId="0609924F" w14:textId="11BF1239" w:rsidR="006D02B6" w:rsidRDefault="007E7533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22758</w:t>
            </w:r>
          </w:p>
        </w:tc>
        <w:tc>
          <w:tcPr>
            <w:tcW w:w="1192" w:type="dxa"/>
          </w:tcPr>
          <w:p w14:paraId="383E9513" w14:textId="361E0B2B" w:rsidR="006D02B6" w:rsidRDefault="00BF60D5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32270</w:t>
            </w:r>
          </w:p>
        </w:tc>
      </w:tr>
      <w:tr w:rsidR="007E7533" w14:paraId="69930410" w14:textId="77777777" w:rsidTr="00BB5086">
        <w:tc>
          <w:tcPr>
            <w:tcW w:w="1302" w:type="dxa"/>
          </w:tcPr>
          <w:p w14:paraId="4C3C13E5" w14:textId="1985087B" w:rsidR="006D02B6" w:rsidRDefault="000275A8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Delta time</w:t>
            </w:r>
          </w:p>
        </w:tc>
        <w:tc>
          <w:tcPr>
            <w:tcW w:w="941" w:type="dxa"/>
          </w:tcPr>
          <w:p w14:paraId="37D40AEA" w14:textId="64E41CD6" w:rsidR="006D02B6" w:rsidRDefault="008962B8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77.4992</w:t>
            </w:r>
          </w:p>
        </w:tc>
        <w:tc>
          <w:tcPr>
            <w:tcW w:w="941" w:type="dxa"/>
          </w:tcPr>
          <w:p w14:paraId="5CB37ADD" w14:textId="5A09C726" w:rsidR="006D02B6" w:rsidRDefault="00AE3E4D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57.9252</w:t>
            </w:r>
          </w:p>
        </w:tc>
        <w:tc>
          <w:tcPr>
            <w:tcW w:w="1053" w:type="dxa"/>
          </w:tcPr>
          <w:p w14:paraId="6C7D518A" w14:textId="1E08CA5E" w:rsidR="006D02B6" w:rsidRDefault="003E12E5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132.</w:t>
            </w:r>
            <w:r w:rsidR="00781F5B">
              <w:rPr>
                <w:rFonts w:ascii="Dax-Regular" w:hAnsi="Dax-Regular"/>
                <w:lang w:val="es-419"/>
              </w:rPr>
              <w:t>7667</w:t>
            </w:r>
          </w:p>
        </w:tc>
        <w:tc>
          <w:tcPr>
            <w:tcW w:w="1053" w:type="dxa"/>
          </w:tcPr>
          <w:p w14:paraId="1EAE127F" w14:textId="15919DF3" w:rsidR="006D02B6" w:rsidRDefault="00085D70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291.4505</w:t>
            </w:r>
          </w:p>
        </w:tc>
        <w:tc>
          <w:tcPr>
            <w:tcW w:w="1053" w:type="dxa"/>
          </w:tcPr>
          <w:p w14:paraId="17085341" w14:textId="0AB20C07" w:rsidR="006D02B6" w:rsidRDefault="002A70C2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853.7476</w:t>
            </w:r>
          </w:p>
        </w:tc>
        <w:tc>
          <w:tcPr>
            <w:tcW w:w="1164" w:type="dxa"/>
          </w:tcPr>
          <w:p w14:paraId="356E922C" w14:textId="54D2E414" w:rsidR="006D02B6" w:rsidRDefault="006312A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2259.</w:t>
            </w:r>
            <w:r w:rsidR="00572A5D">
              <w:rPr>
                <w:rFonts w:ascii="Dax-Regular" w:hAnsi="Dax-Regular"/>
                <w:lang w:val="es-419"/>
              </w:rPr>
              <w:t>1198</w:t>
            </w:r>
          </w:p>
        </w:tc>
        <w:tc>
          <w:tcPr>
            <w:tcW w:w="1164" w:type="dxa"/>
          </w:tcPr>
          <w:p w14:paraId="6DEA663E" w14:textId="5D6ED0F5" w:rsidR="006D02B6" w:rsidRDefault="00295263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6944.</w:t>
            </w:r>
            <w:r w:rsidR="00905920">
              <w:rPr>
                <w:rFonts w:ascii="Dax-Regular" w:hAnsi="Dax-Regular"/>
                <w:lang w:val="es-419"/>
              </w:rPr>
              <w:t>7134</w:t>
            </w:r>
          </w:p>
        </w:tc>
        <w:tc>
          <w:tcPr>
            <w:tcW w:w="1053" w:type="dxa"/>
          </w:tcPr>
          <w:p w14:paraId="54614492" w14:textId="4856406C" w:rsidR="006D02B6" w:rsidRDefault="007E7533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21747.05</w:t>
            </w:r>
          </w:p>
        </w:tc>
        <w:tc>
          <w:tcPr>
            <w:tcW w:w="1192" w:type="dxa"/>
          </w:tcPr>
          <w:p w14:paraId="32906C2F" w14:textId="55F13836" w:rsidR="006D02B6" w:rsidRDefault="0050616E" w:rsidP="00906D65">
            <w:pPr>
              <w:jc w:val="both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35216.</w:t>
            </w:r>
            <w:r w:rsidR="00BB5086">
              <w:rPr>
                <w:rFonts w:ascii="Dax-Regular" w:hAnsi="Dax-Regular"/>
                <w:lang w:val="es-419"/>
              </w:rPr>
              <w:t>69</w:t>
            </w:r>
          </w:p>
        </w:tc>
      </w:tr>
    </w:tbl>
    <w:p w14:paraId="1297BC9F" w14:textId="696CBFEF" w:rsidR="00906D65" w:rsidRPr="00C4351E" w:rsidRDefault="00D1659C" w:rsidP="00906D65">
      <w:pPr>
        <w:spacing w:after="0"/>
        <w:jc w:val="both"/>
        <w:rPr>
          <w:rFonts w:ascii="Dax-Regular" w:hAnsi="Dax-Regular"/>
          <w:i/>
          <w:iCs/>
          <w:sz w:val="18"/>
          <w:szCs w:val="18"/>
          <w:lang w:val="es-419"/>
        </w:rPr>
      </w:pPr>
      <w:r w:rsidRPr="00C4351E">
        <w:rPr>
          <w:rFonts w:ascii="Dax-Regular" w:hAnsi="Dax-Regular"/>
          <w:i/>
          <w:iCs/>
          <w:sz w:val="18"/>
          <w:szCs w:val="18"/>
          <w:lang w:val="es-419"/>
        </w:rPr>
        <w:tab/>
      </w:r>
      <w:r w:rsidRPr="00C4351E">
        <w:rPr>
          <w:rFonts w:ascii="Dax-Regular" w:hAnsi="Dax-Regular"/>
          <w:i/>
          <w:iCs/>
          <w:sz w:val="18"/>
          <w:szCs w:val="18"/>
          <w:lang w:val="es-419"/>
        </w:rPr>
        <w:tab/>
      </w:r>
      <w:r w:rsidRPr="00C4351E">
        <w:rPr>
          <w:rFonts w:ascii="Dax-Regular" w:hAnsi="Dax-Regular"/>
          <w:i/>
          <w:iCs/>
          <w:sz w:val="18"/>
          <w:szCs w:val="18"/>
          <w:lang w:val="es-419"/>
        </w:rPr>
        <w:tab/>
      </w:r>
      <w:r w:rsidRPr="00C4351E">
        <w:rPr>
          <w:rFonts w:ascii="Dax-Regular" w:hAnsi="Dax-Regular"/>
          <w:i/>
          <w:iCs/>
          <w:sz w:val="18"/>
          <w:szCs w:val="18"/>
          <w:lang w:val="es-419"/>
        </w:rPr>
        <w:tab/>
      </w:r>
      <w:r w:rsidRPr="00C4351E">
        <w:rPr>
          <w:rFonts w:ascii="Dax-Regular" w:hAnsi="Dax-Regular"/>
          <w:i/>
          <w:iCs/>
          <w:sz w:val="18"/>
          <w:szCs w:val="18"/>
          <w:lang w:val="es-419"/>
        </w:rPr>
        <w:tab/>
        <w:t xml:space="preserve">Tabla 1 </w:t>
      </w:r>
      <w:r w:rsidR="00C4351E" w:rsidRPr="00C4351E">
        <w:rPr>
          <w:rFonts w:ascii="Dax-Regular" w:hAnsi="Dax-Regular"/>
          <w:i/>
          <w:iCs/>
          <w:sz w:val="18"/>
          <w:szCs w:val="18"/>
          <w:lang w:val="es-419"/>
        </w:rPr>
        <w:t>–</w:t>
      </w:r>
      <w:r w:rsidRPr="00C4351E">
        <w:rPr>
          <w:rFonts w:ascii="Dax-Regular" w:hAnsi="Dax-Regular"/>
          <w:i/>
          <w:iCs/>
          <w:sz w:val="18"/>
          <w:szCs w:val="18"/>
          <w:lang w:val="es-419"/>
        </w:rPr>
        <w:t xml:space="preserve"> </w:t>
      </w:r>
      <w:r w:rsidR="00C4351E" w:rsidRPr="00C4351E">
        <w:rPr>
          <w:rFonts w:ascii="Dax-Regular" w:hAnsi="Dax-Regular"/>
          <w:i/>
          <w:iCs/>
          <w:sz w:val="18"/>
          <w:szCs w:val="18"/>
          <w:lang w:val="es-419"/>
        </w:rPr>
        <w:t>Resultados comando 4</w:t>
      </w:r>
    </w:p>
    <w:p w14:paraId="7E2B56C2" w14:textId="77777777" w:rsidR="00847B3F" w:rsidRDefault="00847B3F" w:rsidP="002540EE">
      <w:pPr>
        <w:spacing w:after="0"/>
        <w:ind w:firstLine="360"/>
        <w:jc w:val="both"/>
        <w:rPr>
          <w:rFonts w:ascii="Dax-Regular" w:hAnsi="Dax-Regular"/>
          <w:lang w:val="es-419"/>
        </w:rPr>
      </w:pPr>
    </w:p>
    <w:p w14:paraId="1948D9E5" w14:textId="06080EC5" w:rsidR="00B744F1" w:rsidRDefault="005A3CF3" w:rsidP="002540EE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La relación más apreciable es que </w:t>
      </w:r>
      <w:r w:rsidR="00D7584F">
        <w:rPr>
          <w:rFonts w:ascii="Dax-Regular" w:hAnsi="Dax-Regular"/>
          <w:lang w:val="es-419"/>
        </w:rPr>
        <w:t>entre mayor sea la cantidad de datos, logicamente, se estableceran más nodos. Estos ultimos</w:t>
      </w:r>
      <w:r w:rsidR="002C1F05">
        <w:rPr>
          <w:rFonts w:ascii="Dax-Regular" w:hAnsi="Dax-Regular"/>
          <w:lang w:val="es-419"/>
        </w:rPr>
        <w:t xml:space="preserve"> por lo tanto</w:t>
      </w:r>
      <w:r w:rsidR="00D7584F">
        <w:rPr>
          <w:rFonts w:ascii="Dax-Regular" w:hAnsi="Dax-Regular"/>
          <w:lang w:val="es-419"/>
        </w:rPr>
        <w:t xml:space="preserve"> requeriran de un mayor número de arcos</w:t>
      </w:r>
      <w:r w:rsidR="002C1F05">
        <w:rPr>
          <w:rFonts w:ascii="Dax-Regular" w:hAnsi="Dax-Regular"/>
          <w:lang w:val="es-419"/>
        </w:rPr>
        <w:t xml:space="preserve"> entre ellos </w:t>
      </w:r>
      <w:r w:rsidR="00D7584F">
        <w:rPr>
          <w:rFonts w:ascii="Dax-Regular" w:hAnsi="Dax-Regular"/>
          <w:lang w:val="es-419"/>
        </w:rPr>
        <w:t>capaces de entablar unas correctas relaciones.</w:t>
      </w:r>
    </w:p>
    <w:p w14:paraId="007A9AA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68F443C4" w14:textId="77777777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¿El grafo definido es denso o disperso?, ¿El grafo es dirigido o no dirigido?, ¿El grafo está fuertemente conectado?</w:t>
      </w:r>
    </w:p>
    <w:p w14:paraId="039329BE" w14:textId="427AA619" w:rsidR="00B744F1" w:rsidRDefault="008271C8" w:rsidP="002540EE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Basando en los datos otorgados por la tabla </w:t>
      </w:r>
      <w:r w:rsidR="00522586">
        <w:rPr>
          <w:rFonts w:ascii="Dax-Regular" w:hAnsi="Dax-Regular"/>
          <w:lang w:val="es-419"/>
        </w:rPr>
        <w:t>1</w:t>
      </w:r>
      <w:r w:rsidR="006B0BC6">
        <w:rPr>
          <w:rFonts w:ascii="Dax-Regular" w:hAnsi="Dax-Regular"/>
          <w:lang w:val="es-419"/>
        </w:rPr>
        <w:t xml:space="preserve"> se puede afirmar que el grafo (con datos de bus_routers_14000) es </w:t>
      </w:r>
      <w:r w:rsidR="0015236F">
        <w:rPr>
          <w:rFonts w:ascii="Dax-Regular" w:hAnsi="Dax-Regular"/>
          <w:lang w:val="es-419"/>
        </w:rPr>
        <w:t xml:space="preserve">un grafo denso debido al gran número de arcos o </w:t>
      </w:r>
      <w:r w:rsidR="00E92048">
        <w:rPr>
          <w:rFonts w:ascii="Dax-Regular" w:hAnsi="Dax-Regular"/>
          <w:lang w:val="es-419"/>
        </w:rPr>
        <w:t>conecciónes existentes en él</w:t>
      </w:r>
      <w:r w:rsidR="00592143">
        <w:rPr>
          <w:rFonts w:ascii="Dax-Regular" w:hAnsi="Dax-Regular"/>
          <w:lang w:val="es-419"/>
        </w:rPr>
        <w:t>, mas no est</w:t>
      </w:r>
      <w:r w:rsidR="00007598">
        <w:rPr>
          <w:rFonts w:ascii="Dax-Regular" w:hAnsi="Dax-Regular"/>
          <w:lang w:val="es-419"/>
        </w:rPr>
        <w:t xml:space="preserve">á fuertemente conectado pues al ejecutar el comando 3 se informa que solo </w:t>
      </w:r>
      <w:r w:rsidR="00923DD3">
        <w:rPr>
          <w:rFonts w:ascii="Dax-Regular" w:hAnsi="Dax-Regular"/>
          <w:lang w:val="es-419"/>
        </w:rPr>
        <w:t>hay 30 componentes conectados</w:t>
      </w:r>
      <w:r w:rsidR="00E92048">
        <w:rPr>
          <w:rFonts w:ascii="Dax-Regular" w:hAnsi="Dax-Regular"/>
          <w:lang w:val="es-419"/>
        </w:rPr>
        <w:t>.</w:t>
      </w:r>
      <w:r w:rsidR="008A4826">
        <w:rPr>
          <w:rFonts w:ascii="Dax-Regular" w:hAnsi="Dax-Regular"/>
          <w:lang w:val="es-419"/>
        </w:rPr>
        <w:t xml:space="preserve"> A su vez, revisando el codigo, se puede visualizar claramente que está dirigido según la linea </w:t>
      </w:r>
      <w:r w:rsidR="00CD6B31">
        <w:rPr>
          <w:rFonts w:ascii="Dax-Regular" w:hAnsi="Dax-Regular"/>
          <w:lang w:val="es-419"/>
        </w:rPr>
        <w:t>67 del model.py.</w:t>
      </w:r>
    </w:p>
    <w:p w14:paraId="398BAC97" w14:textId="77777777" w:rsidR="00EE4A9E" w:rsidRDefault="00EE4A9E" w:rsidP="00B744F1">
      <w:pPr>
        <w:spacing w:after="0"/>
        <w:jc w:val="both"/>
        <w:rPr>
          <w:rFonts w:ascii="Dax-Regular" w:hAnsi="Dax-Regular"/>
          <w:lang w:val="es-419"/>
        </w:rPr>
      </w:pPr>
    </w:p>
    <w:p w14:paraId="40725D3C" w14:textId="376E4768" w:rsidR="00667E83" w:rsidRDefault="00EE4A9E" w:rsidP="00B744F1">
      <w:pPr>
        <w:spacing w:after="0"/>
        <w:jc w:val="both"/>
        <w:rPr>
          <w:rFonts w:ascii="Dax-Regular" w:hAnsi="Dax-Regular"/>
          <w:lang w:val="es-419"/>
        </w:rPr>
      </w:pPr>
      <w:r w:rsidRPr="00EE4A9E">
        <w:rPr>
          <w:rFonts w:ascii="Dax-Regular" w:hAnsi="Dax-Regular"/>
          <w:lang w:val="es-419"/>
        </w:rPr>
        <w:lastRenderedPageBreak/>
        <w:drawing>
          <wp:inline distT="0" distB="0" distL="0" distR="0" wp14:anchorId="7C759D92" wp14:editId="6BF1CDE6">
            <wp:extent cx="5943600" cy="687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29FD" w14:textId="0BB685F2" w:rsidR="00C22E46" w:rsidRPr="00522586" w:rsidRDefault="00C22E46" w:rsidP="00B744F1">
      <w:pPr>
        <w:spacing w:after="0"/>
        <w:jc w:val="both"/>
        <w:rPr>
          <w:rFonts w:ascii="Dax-Regular" w:hAnsi="Dax-Regular"/>
          <w:i/>
          <w:iCs/>
          <w:sz w:val="18"/>
          <w:szCs w:val="18"/>
          <w:lang w:val="es-419"/>
        </w:rPr>
      </w:pPr>
      <w:r>
        <w:rPr>
          <w:rFonts w:ascii="Dax-Regular" w:hAnsi="Dax-Regular"/>
          <w:lang w:val="es-419"/>
        </w:rPr>
        <w:tab/>
      </w:r>
      <w:r>
        <w:rPr>
          <w:rFonts w:ascii="Dax-Regular" w:hAnsi="Dax-Regular"/>
          <w:lang w:val="es-419"/>
        </w:rPr>
        <w:tab/>
      </w:r>
      <w:r>
        <w:rPr>
          <w:rFonts w:ascii="Dax-Regular" w:hAnsi="Dax-Regular"/>
          <w:lang w:val="es-419"/>
        </w:rPr>
        <w:tab/>
      </w:r>
      <w:r>
        <w:rPr>
          <w:rFonts w:ascii="Dax-Regular" w:hAnsi="Dax-Regular"/>
          <w:lang w:val="es-419"/>
        </w:rPr>
        <w:tab/>
      </w:r>
      <w:r>
        <w:rPr>
          <w:rFonts w:ascii="Dax-Regular" w:hAnsi="Dax-Regular"/>
          <w:lang w:val="es-419"/>
        </w:rPr>
        <w:tab/>
      </w:r>
      <w:r w:rsidRPr="00522586">
        <w:rPr>
          <w:rFonts w:ascii="Dax-Regular" w:hAnsi="Dax-Regular"/>
          <w:i/>
          <w:iCs/>
          <w:sz w:val="18"/>
          <w:szCs w:val="18"/>
          <w:lang w:val="es-419"/>
        </w:rPr>
        <w:t xml:space="preserve">Figura 1 </w:t>
      </w:r>
      <w:r w:rsidR="00EF7C03" w:rsidRPr="00522586">
        <w:rPr>
          <w:rFonts w:ascii="Dax-Regular" w:hAnsi="Dax-Regular"/>
          <w:i/>
          <w:iCs/>
          <w:sz w:val="18"/>
          <w:szCs w:val="18"/>
          <w:lang w:val="es-419"/>
        </w:rPr>
        <w:t>–</w:t>
      </w:r>
      <w:r w:rsidRPr="00522586">
        <w:rPr>
          <w:rFonts w:ascii="Dax-Regular" w:hAnsi="Dax-Regular"/>
          <w:i/>
          <w:iCs/>
          <w:sz w:val="18"/>
          <w:szCs w:val="18"/>
          <w:lang w:val="es-419"/>
        </w:rPr>
        <w:t xml:space="preserve"> </w:t>
      </w:r>
      <w:r w:rsidR="00EF7C03" w:rsidRPr="00522586">
        <w:rPr>
          <w:rFonts w:ascii="Dax-Regular" w:hAnsi="Dax-Regular"/>
          <w:i/>
          <w:iCs/>
          <w:sz w:val="18"/>
          <w:szCs w:val="18"/>
          <w:lang w:val="es-419"/>
        </w:rPr>
        <w:t>Función newAnal</w:t>
      </w:r>
      <w:r w:rsidR="00522586" w:rsidRPr="00522586">
        <w:rPr>
          <w:rFonts w:ascii="Dax-Regular" w:hAnsi="Dax-Regular"/>
          <w:i/>
          <w:iCs/>
          <w:sz w:val="18"/>
          <w:szCs w:val="18"/>
          <w:lang w:val="es-419"/>
        </w:rPr>
        <w:t>yzer</w:t>
      </w:r>
    </w:p>
    <w:p w14:paraId="1BA8FC6F" w14:textId="77777777" w:rsidR="00667E83" w:rsidRDefault="00667E83" w:rsidP="00B744F1">
      <w:pPr>
        <w:spacing w:after="0"/>
        <w:jc w:val="both"/>
        <w:rPr>
          <w:rFonts w:ascii="Dax-Regular" w:hAnsi="Dax-Regular"/>
          <w:lang w:val="es-419"/>
        </w:rPr>
      </w:pPr>
    </w:p>
    <w:p w14:paraId="2EC2DD42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DD8B79A" w14:textId="7414F131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el tamaño inicial del grafo?</w:t>
      </w:r>
    </w:p>
    <w:p w14:paraId="4535E4AE" w14:textId="54AE26EC" w:rsidR="00B744F1" w:rsidRDefault="00CC568E" w:rsidP="002540EE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tamaño o </w:t>
      </w:r>
      <w:r w:rsidR="00D914CD">
        <w:rPr>
          <w:rFonts w:ascii="Dax-Regular" w:hAnsi="Dax-Regular"/>
          <w:lang w:val="es-419"/>
        </w:rPr>
        <w:t>‘</w:t>
      </w:r>
      <w:r>
        <w:rPr>
          <w:rFonts w:ascii="Dax-Regular" w:hAnsi="Dax-Regular"/>
          <w:lang w:val="es-419"/>
        </w:rPr>
        <w:t>size</w:t>
      </w:r>
      <w:r w:rsidR="00D914CD">
        <w:rPr>
          <w:rFonts w:ascii="Dax-Regular" w:hAnsi="Dax-Regular"/>
          <w:lang w:val="es-419"/>
        </w:rPr>
        <w:t>’</w:t>
      </w:r>
      <w:r>
        <w:rPr>
          <w:rFonts w:ascii="Dax-Regular" w:hAnsi="Dax-Regular"/>
          <w:lang w:val="es-419"/>
        </w:rPr>
        <w:t xml:space="preserve"> inicial del grafo es de 14000.</w:t>
      </w:r>
      <w:r w:rsidR="00C4351E">
        <w:rPr>
          <w:rFonts w:ascii="Dax-Regular" w:hAnsi="Dax-Regular"/>
          <w:lang w:val="es-419"/>
        </w:rPr>
        <w:t xml:space="preserve"> Vease Figura 1.</w:t>
      </w:r>
    </w:p>
    <w:p w14:paraId="12773D9E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7E088361" w14:textId="03839125" w:rsidR="00B744F1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Estructura de datos utilizada?</w:t>
      </w:r>
    </w:p>
    <w:p w14:paraId="4A1E212A" w14:textId="3483B233" w:rsidR="00B744F1" w:rsidRDefault="00F21AA4" w:rsidP="00F21AA4">
      <w:pPr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 estructura implementada es ‘AD_LIST’</w:t>
      </w:r>
      <w:r w:rsidR="00C22E46">
        <w:rPr>
          <w:rFonts w:ascii="Dax-Regular" w:hAnsi="Dax-Regular"/>
          <w:lang w:val="es-419"/>
        </w:rPr>
        <w:t>, vease Figura 1</w:t>
      </w:r>
      <w:r w:rsidR="00C4351E">
        <w:rPr>
          <w:rFonts w:ascii="Dax-Regular" w:hAnsi="Dax-Regular"/>
          <w:lang w:val="es-419"/>
        </w:rPr>
        <w:t>. Vease Figura 1.</w:t>
      </w:r>
    </w:p>
    <w:p w14:paraId="038DDAF1" w14:textId="77777777" w:rsidR="00B744F1" w:rsidRPr="00B744F1" w:rsidRDefault="00B744F1" w:rsidP="00F21AA4">
      <w:pPr>
        <w:spacing w:after="0"/>
        <w:ind w:left="360"/>
        <w:jc w:val="both"/>
        <w:rPr>
          <w:rFonts w:ascii="Dax-Regular" w:hAnsi="Dax-Regular"/>
          <w:lang w:val="es-419"/>
        </w:rPr>
      </w:pPr>
    </w:p>
    <w:p w14:paraId="1FAAE2DA" w14:textId="3B582897" w:rsidR="0063268C" w:rsidRDefault="00B744F1" w:rsidP="00B744F1">
      <w:pPr>
        <w:pStyle w:val="Prrafodelista"/>
        <w:numPr>
          <w:ilvl w:val="0"/>
          <w:numId w:val="17"/>
        </w:numPr>
        <w:spacing w:after="0"/>
        <w:jc w:val="both"/>
        <w:rPr>
          <w:rFonts w:ascii="Dax-Regular" w:hAnsi="Dax-Regular"/>
          <w:lang w:val="es-419"/>
        </w:rPr>
      </w:pPr>
      <w:r w:rsidRPr="00B744F1">
        <w:rPr>
          <w:rFonts w:ascii="Dax-Regular" w:hAnsi="Dax-Regular"/>
          <w:lang w:val="es-419"/>
        </w:rPr>
        <w:t>¿Cuál es la función de comparación utilizada?</w:t>
      </w:r>
    </w:p>
    <w:p w14:paraId="401A0F6F" w14:textId="3922C5B9" w:rsidR="00C4351E" w:rsidRPr="00C4351E" w:rsidRDefault="00D914CD" w:rsidP="00847B3F">
      <w:pPr>
        <w:spacing w:after="0"/>
        <w:ind w:firstLine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Se implementa ‘</w:t>
      </w:r>
      <w:r w:rsidRPr="00D914CD">
        <w:rPr>
          <w:rFonts w:ascii="Dax-Regular" w:hAnsi="Dax-Regular"/>
          <w:lang w:val="es-419"/>
        </w:rPr>
        <w:t>compareStopIds</w:t>
      </w:r>
      <w:r>
        <w:rPr>
          <w:rFonts w:ascii="Dax-Regular" w:hAnsi="Dax-Regular"/>
          <w:lang w:val="es-419"/>
        </w:rPr>
        <w:t xml:space="preserve">’ como función </w:t>
      </w:r>
      <w:r w:rsidR="0034137E">
        <w:rPr>
          <w:rFonts w:ascii="Dax-Regular" w:hAnsi="Dax-Regular"/>
          <w:lang w:val="es-419"/>
        </w:rPr>
        <w:t>para comparar dos estaciones y determinar</w:t>
      </w:r>
      <w:r w:rsidR="00847B3F">
        <w:rPr>
          <w:rFonts w:ascii="Dax-Regular" w:hAnsi="Dax-Regular"/>
          <w:lang w:val="es-419"/>
        </w:rPr>
        <w:t xml:space="preserve"> la igualdad o diferencia que entre estas exista. Vease Figura 1.</w:t>
      </w:r>
    </w:p>
    <w:p w14:paraId="3BB44D25" w14:textId="77777777" w:rsidR="00B744F1" w:rsidRPr="00B744F1" w:rsidRDefault="00B744F1" w:rsidP="00B744F1">
      <w:pPr>
        <w:spacing w:after="0"/>
        <w:jc w:val="both"/>
        <w:rPr>
          <w:rFonts w:ascii="Dax-Regular" w:hAnsi="Dax-Regular"/>
          <w:lang w:val="es-419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AC348" w14:textId="77777777" w:rsidR="00D051D1" w:rsidRDefault="00D051D1" w:rsidP="00B744F1">
      <w:pPr>
        <w:spacing w:after="0" w:line="240" w:lineRule="auto"/>
      </w:pPr>
      <w:r>
        <w:separator/>
      </w:r>
    </w:p>
  </w:endnote>
  <w:endnote w:type="continuationSeparator" w:id="0">
    <w:p w14:paraId="2ADBD27E" w14:textId="77777777" w:rsidR="00D051D1" w:rsidRDefault="00D051D1" w:rsidP="00B7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9055" w14:textId="77777777" w:rsidR="00D051D1" w:rsidRDefault="00D051D1" w:rsidP="00B744F1">
      <w:pPr>
        <w:spacing w:after="0" w:line="240" w:lineRule="auto"/>
      </w:pPr>
      <w:r>
        <w:separator/>
      </w:r>
    </w:p>
  </w:footnote>
  <w:footnote w:type="continuationSeparator" w:id="0">
    <w:p w14:paraId="2B75E861" w14:textId="77777777" w:rsidR="00D051D1" w:rsidRDefault="00D051D1" w:rsidP="00B74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833E9"/>
    <w:multiLevelType w:val="hybridMultilevel"/>
    <w:tmpl w:val="8A08E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BC4802"/>
    <w:multiLevelType w:val="hybridMultilevel"/>
    <w:tmpl w:val="836AE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9385">
    <w:abstractNumId w:val="10"/>
  </w:num>
  <w:num w:numId="2" w16cid:durableId="6753279">
    <w:abstractNumId w:val="1"/>
  </w:num>
  <w:num w:numId="3" w16cid:durableId="1450856078">
    <w:abstractNumId w:val="11"/>
  </w:num>
  <w:num w:numId="4" w16cid:durableId="1653556879">
    <w:abstractNumId w:val="14"/>
  </w:num>
  <w:num w:numId="5" w16cid:durableId="540476755">
    <w:abstractNumId w:val="16"/>
  </w:num>
  <w:num w:numId="6" w16cid:durableId="910892580">
    <w:abstractNumId w:val="0"/>
  </w:num>
  <w:num w:numId="7" w16cid:durableId="237372384">
    <w:abstractNumId w:val="7"/>
  </w:num>
  <w:num w:numId="8" w16cid:durableId="1948124778">
    <w:abstractNumId w:val="13"/>
  </w:num>
  <w:num w:numId="9" w16cid:durableId="1119111084">
    <w:abstractNumId w:val="3"/>
  </w:num>
  <w:num w:numId="10" w16cid:durableId="1889872194">
    <w:abstractNumId w:val="5"/>
  </w:num>
  <w:num w:numId="11" w16cid:durableId="233860055">
    <w:abstractNumId w:val="12"/>
  </w:num>
  <w:num w:numId="12" w16cid:durableId="90126500">
    <w:abstractNumId w:val="4"/>
  </w:num>
  <w:num w:numId="13" w16cid:durableId="1349329790">
    <w:abstractNumId w:val="6"/>
  </w:num>
  <w:num w:numId="14" w16cid:durableId="1369144434">
    <w:abstractNumId w:val="15"/>
  </w:num>
  <w:num w:numId="15" w16cid:durableId="1311248342">
    <w:abstractNumId w:val="8"/>
  </w:num>
  <w:num w:numId="16" w16cid:durableId="1969434077">
    <w:abstractNumId w:val="9"/>
  </w:num>
  <w:num w:numId="17" w16cid:durableId="803161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07598"/>
    <w:rsid w:val="00024D98"/>
    <w:rsid w:val="000275A8"/>
    <w:rsid w:val="00067C73"/>
    <w:rsid w:val="00076EA8"/>
    <w:rsid w:val="00085D70"/>
    <w:rsid w:val="00091AF9"/>
    <w:rsid w:val="000B34DE"/>
    <w:rsid w:val="0013546A"/>
    <w:rsid w:val="0015236F"/>
    <w:rsid w:val="00195AD3"/>
    <w:rsid w:val="00236F3A"/>
    <w:rsid w:val="002540EE"/>
    <w:rsid w:val="00267D0E"/>
    <w:rsid w:val="00295263"/>
    <w:rsid w:val="002A67CE"/>
    <w:rsid w:val="002A70C2"/>
    <w:rsid w:val="002C1F05"/>
    <w:rsid w:val="002D5B46"/>
    <w:rsid w:val="0031411C"/>
    <w:rsid w:val="0034137E"/>
    <w:rsid w:val="003469C3"/>
    <w:rsid w:val="00365AE7"/>
    <w:rsid w:val="003B5453"/>
    <w:rsid w:val="003B6C26"/>
    <w:rsid w:val="003C0715"/>
    <w:rsid w:val="003E12E5"/>
    <w:rsid w:val="0042114A"/>
    <w:rsid w:val="0043769A"/>
    <w:rsid w:val="004527C8"/>
    <w:rsid w:val="004F2388"/>
    <w:rsid w:val="0050616E"/>
    <w:rsid w:val="00522586"/>
    <w:rsid w:val="005535F5"/>
    <w:rsid w:val="00567F1D"/>
    <w:rsid w:val="00572A5D"/>
    <w:rsid w:val="00583BE6"/>
    <w:rsid w:val="00592143"/>
    <w:rsid w:val="005A3CF3"/>
    <w:rsid w:val="005D6DE3"/>
    <w:rsid w:val="006312AE"/>
    <w:rsid w:val="00631E66"/>
    <w:rsid w:val="0063268C"/>
    <w:rsid w:val="00642A5E"/>
    <w:rsid w:val="00667C88"/>
    <w:rsid w:val="00667E83"/>
    <w:rsid w:val="006B0BC6"/>
    <w:rsid w:val="006B4BA3"/>
    <w:rsid w:val="006D02B6"/>
    <w:rsid w:val="006F2592"/>
    <w:rsid w:val="00780D42"/>
    <w:rsid w:val="00781F5B"/>
    <w:rsid w:val="00783B87"/>
    <w:rsid w:val="00787C53"/>
    <w:rsid w:val="007E7533"/>
    <w:rsid w:val="00806FA9"/>
    <w:rsid w:val="008271C8"/>
    <w:rsid w:val="00847B3F"/>
    <w:rsid w:val="008516F2"/>
    <w:rsid w:val="008962B8"/>
    <w:rsid w:val="008A0E86"/>
    <w:rsid w:val="008A4826"/>
    <w:rsid w:val="008B7948"/>
    <w:rsid w:val="00905920"/>
    <w:rsid w:val="00906D65"/>
    <w:rsid w:val="00923DD3"/>
    <w:rsid w:val="00991A33"/>
    <w:rsid w:val="009F4247"/>
    <w:rsid w:val="009F73BD"/>
    <w:rsid w:val="00A341C3"/>
    <w:rsid w:val="00A34803"/>
    <w:rsid w:val="00A442AC"/>
    <w:rsid w:val="00A74B65"/>
    <w:rsid w:val="00A74C44"/>
    <w:rsid w:val="00A83A39"/>
    <w:rsid w:val="00AA39E8"/>
    <w:rsid w:val="00AA58E8"/>
    <w:rsid w:val="00AE3E4D"/>
    <w:rsid w:val="00B72D08"/>
    <w:rsid w:val="00B744F1"/>
    <w:rsid w:val="00BA3B38"/>
    <w:rsid w:val="00BB5086"/>
    <w:rsid w:val="00BE5A08"/>
    <w:rsid w:val="00BF60D5"/>
    <w:rsid w:val="00C0215B"/>
    <w:rsid w:val="00C22E46"/>
    <w:rsid w:val="00C4351E"/>
    <w:rsid w:val="00C75D48"/>
    <w:rsid w:val="00CC568E"/>
    <w:rsid w:val="00CD6B31"/>
    <w:rsid w:val="00D051D1"/>
    <w:rsid w:val="00D1659C"/>
    <w:rsid w:val="00D36265"/>
    <w:rsid w:val="00D7584F"/>
    <w:rsid w:val="00D85575"/>
    <w:rsid w:val="00D914CD"/>
    <w:rsid w:val="00DA0762"/>
    <w:rsid w:val="00DF5BFC"/>
    <w:rsid w:val="00E37A60"/>
    <w:rsid w:val="00E50E9B"/>
    <w:rsid w:val="00E92048"/>
    <w:rsid w:val="00EB1145"/>
    <w:rsid w:val="00EE4322"/>
    <w:rsid w:val="00EE4A9E"/>
    <w:rsid w:val="00EF7C03"/>
    <w:rsid w:val="00F0193E"/>
    <w:rsid w:val="00F21AA4"/>
    <w:rsid w:val="00F241C1"/>
    <w:rsid w:val="00F32F41"/>
    <w:rsid w:val="00F42D65"/>
    <w:rsid w:val="00FC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F1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B74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F1"/>
    <w:rPr>
      <w:noProof/>
    </w:rPr>
  </w:style>
  <w:style w:type="table" w:styleId="Tablaconcuadrcula">
    <w:name w:val="Table Grid"/>
    <w:basedOn w:val="Tablanormal"/>
    <w:uiPriority w:val="39"/>
    <w:rsid w:val="006D0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056184-446C-4B0D-B6C7-E92CB3E195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Joseph Linares</cp:lastModifiedBy>
  <cp:revision>106</cp:revision>
  <dcterms:created xsi:type="dcterms:W3CDTF">2021-02-10T17:06:00Z</dcterms:created>
  <dcterms:modified xsi:type="dcterms:W3CDTF">2022-05-04T19:26:00Z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