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5F"/>
          <w:sz w:val="32"/>
        </w:rPr>
        <w:t>A Neuro-Symbolic System for Querying and Monitoring</w:t>
        <w:br/>
        <w:t>Copyright Compliance Across National Legislations</w:t>
      </w:r>
    </w:p>
    <w:p>
      <w:pPr>
        <w:jc w:val="center"/>
      </w:pPr>
      <w:r>
        <w:rPr>
          <w:sz w:val="22"/>
        </w:rPr>
        <w:t>Johannes Brune  Gianluca Corazza  Alessandro Longo  Alessandro Sapienza  Simone Vagnoni</w:t>
      </w:r>
    </w:p>
    <w:p>
      <w:pPr>
        <w:jc w:val="center"/>
      </w:pPr>
      <w:r>
        <w:rPr>
          <w:i/>
          <w:sz w:val="20"/>
        </w:rPr>
        <w:t>Alma Mater Studiorum -- Universita di Bologna</w:t>
        <w:br/>
        <w:t>Supervisor: Prof. Monica Palmirani</w:t>
      </w:r>
    </w:p>
    <w:p/>
    <w:p>
      <w:pPr>
        <w:spacing w:after="160"/>
        <w:ind w:left="720" w:right="720"/>
      </w:pPr>
      <w:r>
        <w:rPr>
          <w:b/>
          <w:sz w:val="20"/>
        </w:rPr>
        <w:t xml:space="preserve">Abstract. </w:t>
      </w:r>
      <w:r>
        <w:rPr>
          <w:sz w:val="20"/>
        </w:rPr>
        <w:t>We present a neuro-symbolic web application for querying intellectual property law across nine national jurisdictions and verifying their compliance with WIPO treaty obligations. The system integrates a large language model (LLM) for multilingual query enrichment and answer generation with a symbolic pipeline composed of an RDF Knowledge Graph (KG) structured over the IPROnto ontology, SPARQL-based retrieval, and Akoma Ntoso (AKN) XML document rendering. Two architectural contributions are reported: (i) authentic source attribution, which surfaces FRBR Work URIs and ELI identifiers extracted from each AKN corpus to link answers directly to their official legislative source; and (ii) point-in-time navigation, which resolves the AKN expression of the Italian Legge 633/1941 (68 versions, 1941-2025) in force at a user-specified date. These components ground system outputs in time-stamped, traceable, and authoritative legal texts. We describe the full pipeline, demonstrate that compliance checking operates without LLM involvement, and outline remaining gaps toward a production-grade bidirectional monitoring system.</w:t>
      </w:r>
    </w:p>
    <w:p>
      <w:pPr>
        <w:spacing w:after="200"/>
        <w:ind w:left="720" w:right="720"/>
      </w:pPr>
      <w:r>
        <w:rPr>
          <w:b/>
        </w:rPr>
        <w:t xml:space="preserve">Keywords: </w:t>
      </w:r>
      <w:r>
        <w:rPr>
          <w:sz w:val="20"/>
        </w:rPr>
        <w:t>Akoma Ntoso, FRBR, ELI, IPROnto, Knowledge Graph, Neuro-symbolic AI, Point-in-time, SPARQL, WIPO Berne Convention</w:t>
      </w:r>
    </w:p>
    <w:p>
      <w:pPr>
        <w:pStyle w:val="Heading1"/>
      </w:pPr>
      <w:r>
        <w:t>1. Introduction</w:t>
      </w:r>
    </w:p>
    <w:p>
      <w:pPr/>
      <w:r>
        <w:rPr>
          <w:b w:val="0"/>
          <w:i w:val="0"/>
        </w:rPr>
        <w:t>Monitoring the alignment between national legislation and international intellectual property (IP) treaties is a labour-intensive legal task. To answer "Is the Italian Legge 633/1941 compliant with Article 7 of the Berne Convention?" a jurist must (1) locate the relevant provision in the national act, (2) extract its normative value (e.g., 70 years post mortem auctoris), and (3) compare it semantically with the treaty minimum (50 years). Repeating this across 9+ jurisdictions requires machine-readable representations of legal norms.</w:t>
      </w:r>
    </w:p>
    <w:p>
      <w:pPr/>
      <w:r>
        <w:rPr>
          <w:b w:val="0"/>
          <w:i w:val="0"/>
        </w:rPr>
        <w:t>Large Language Models (LLMs) offer fluent natural-language understanding but lack grounding in authoritative legal sources and are prone to hallucination [8]. Symbolic Knowledge Graphs (KGs) encode structured facts precisely but cannot handle multilingual query ambiguity. We argue that a neuro-symbolic integration [7] -- LLM for understanding, KG for retrieval and reasoning -- is the appropriate architecture for this task.</w:t>
      </w:r>
    </w:p>
    <w:p>
      <w:pPr/>
      <w:r>
        <w:rPr>
          <w:b w:val="0"/>
          <w:i w:val="0"/>
        </w:rPr>
        <w:t>This paper presents an MVP developed during the IRIS 2026 Hackathon. Its primary contributions are:</w:t>
      </w:r>
    </w:p>
    <w:p>
      <w:pPr>
        <w:pStyle w:val="ListNumber"/>
      </w:pPr>
      <w:r>
        <w:t>A working end-to-end pipeline connecting multilingual LLM query enrichment to SPARQL retrieval over an AKN-grounded IPROnto KG.</w:t>
      </w:r>
    </w:p>
    <w:p>
      <w:pPr>
        <w:pStyle w:val="ListNumber"/>
      </w:pPr>
      <w:r>
        <w:t>A pure symbolic compliance checker grounded in integer-typed RDF triples and ipronto:compliesWith links, requiring no LLM.</w:t>
      </w:r>
    </w:p>
    <w:p>
      <w:pPr>
        <w:pStyle w:val="ListNumber"/>
      </w:pPr>
      <w:r>
        <w:t>Authentic source attribution: FRBR Work URIs and ELI identifiers extracted from AKN FRBRWork metadata, surfaced in the UI as verifiable hyperlinks to official legislative sources.</w:t>
      </w:r>
    </w:p>
    <w:p>
      <w:pPr>
        <w:pStyle w:val="ListNumber"/>
      </w:pPr>
      <w:r>
        <w:t>Point-in-time document navigation: resolution of any of the 68 historical AKN expressions of the Italian copyright act (1941-2025) in force at a user-specified date.</w:t>
      </w:r>
    </w:p>
    <w:p>
      <w:pPr>
        <w:pStyle w:val="Heading1"/>
      </w:pPr>
      <w:r>
        <w:t>2. Background</w:t>
      </w:r>
    </w:p>
    <w:p>
      <w:pPr>
        <w:pStyle w:val="Heading2"/>
      </w:pPr>
      <w:r>
        <w:t>2.1  Akoma Ntoso and the FRBR/ELI Model</w:t>
      </w:r>
    </w:p>
    <w:p>
      <w:pPr/>
      <w:r>
        <w:rPr>
          <w:b w:val="0"/>
          <w:i w:val="0"/>
        </w:rPr>
        <w:t>Akoma Ntoso (AKN) is the OASIS standard for the XML representation of legal and parliamentary documents [9, 1]. Its hierarchical structure provides stable eId attributes that uniquely identify every provision across time.</w:t>
      </w:r>
    </w:p>
    <w:p>
      <w:pPr/>
      <w:r>
        <w:rPr>
          <w:b w:val="0"/>
          <w:i w:val="0"/>
        </w:rPr>
        <w:t>AKN embeds a FRBR metadata layer [2] encoding the Work-Expression-Manifestation-Item hierarchy. The &lt;FRBRWork&gt; element carries: FRBRuri (canonical Work-level URI); FRBRdate (dated events with typed name attributes such as dateApplicability and dateEntryInForce); FRBRalias (aliases including the European Legislation Identifier, ELI [3]); and boolean flags FRBRauthoritative / FRBRprescriptive. These metadata fields are inconsistently populated across national corpora -- UK uses FRBRprescriptive, Switzerland uses FRBRauthoritative, Germany omits both -- a heterogeneity our akn_metadata module normalises with a priority fallback strategy.</w:t>
      </w:r>
    </w:p>
    <w:p>
      <w:pPr>
        <w:pStyle w:val="Heading2"/>
      </w:pPr>
      <w:r>
        <w:t>2.2  IPROnto</w:t>
      </w:r>
    </w:p>
    <w:p>
      <w:pPr/>
      <w:r>
        <w:rPr>
          <w:b w:val="0"/>
          <w:i w:val="0"/>
        </w:rPr>
        <w:t>IPROnto is an OWL ontology for the IP domain developed by the Distributed Multimedia Applications Group (DMAG) at the Universitat Politecnica de Catalunya [4]. It defines ExploitationRight, ExceptionsRight, and properties for jurisdiction, duration, and rights grants. We adopt the IPROnto namespace as the backbone of our KG, extending it with a legal: property vocabulary for SPARQL querying.</w:t>
      </w:r>
    </w:p>
    <w:p>
      <w:pPr>
        <w:pStyle w:val="Heading2"/>
      </w:pPr>
      <w:r>
        <w:t>2.3  Neuro-Symbolic Legal AI</w:t>
      </w:r>
    </w:p>
    <w:p>
      <w:pPr/>
      <w:r>
        <w:rPr>
          <w:b w:val="0"/>
          <w:i w:val="0"/>
        </w:rPr>
        <w:t>The combination of neural and symbolic methods for legal reasoning has been explored in LegalRuleML [5] and ontology-based approaches [6]. Our contribution is a complete, runnable pipeline connecting LLM enrichment to SPARQL retrieval over AKN-grounded RDF triples, extended with authentic source attribution and temporal resolution.</w:t>
      </w:r>
    </w:p>
    <w:p>
      <w:pPr>
        <w:pStyle w:val="Heading1"/>
      </w:pPr>
      <w:r>
        <w:t>3. System Architecture</w:t>
      </w:r>
    </w:p>
    <w:p>
      <w:pPr/>
      <w:r>
        <w:rPr>
          <w:b w:val="0"/>
          <w:i w:val="0"/>
        </w:rPr>
        <w:t>The pipeline has six stages. Stages 1 and 6a are neural; stages 2-5 and 6b are fully symbolic.</w:t>
      </w:r>
    </w:p>
    <w:p>
      <w:pPr>
        <w:pStyle w:val="Heading2"/>
      </w:pPr>
      <w:r>
        <w:t>Stage 1 -- Multilingual Query Enrichment (Neural)</w:t>
      </w:r>
    </w:p>
    <w:p>
      <w:pPr/>
      <w:r>
        <w:rPr>
          <w:b w:val="0"/>
          <w:i w:val="0"/>
        </w:rPr>
        <w:t>The user question (any language) is passed to Gemini 2.0 Flash via the OpenRouter API. The LLM returns a JSON object validated by Pydantic v2 against a SPARQLParams schema with four fields: Jurisdiction (one of 9 country names, "WIPO", or "Unknown"), Legal_Topic ("copyright duration", "economic rights", or "personal-use exception"), Time_Frame (year range or "Current"), and User_Objective (English rephrasing). Multilingual input is correctly mapped -- e.g., Italian "quando scade il diritto d'autore in Francia?" is routed to Jurisdiction=France, Legal_Topic=copyright duration.</w:t>
      </w:r>
    </w:p>
    <w:p>
      <w:pPr>
        <w:pStyle w:val="Heading2"/>
      </w:pPr>
      <w:r>
        <w:t>Stage 2 -- KG Retrieval (Symbolic / SPARQL)</w:t>
      </w:r>
    </w:p>
    <w:p>
      <w:pPr/>
      <w:r>
        <w:rPr>
          <w:b w:val="0"/>
          <w:i w:val="0"/>
        </w:rPr>
        <w:t>The normalised parameters select one of three SPARQL SELECT templates executed against an in-memory rdflib graph. Representative triples:</w:t>
      </w:r>
    </w:p>
    <w:p>
      <w:pPr>
        <w:spacing w:before="80" w:after="80"/>
        <w:ind w:left="576"/>
        <w:shd w:val="clear" w:color="auto" w:fill="F2F2F2"/>
      </w:pPr>
      <w:r>
        <w:rPr>
          <w:rFonts w:ascii="Courier New" w:hAnsi="Courier New"/>
          <w:sz w:val="18"/>
        </w:rPr>
        <w:t>ex:CH_duration  a ipronto:ExploitationRight ;</w:t>
        <w:br/>
        <w:t xml:space="preserve">    legal:jurisdiction     "CH" ;</w:t>
        <w:br/>
        <w:t xml:space="preserve">    legal:durationLiterary "70 years pma" ;</w:t>
        <w:br/>
        <w:t xml:space="preserve">    legal:durationYears    70 ;            # xsd:integer</w:t>
        <w:br/>
        <w:t xml:space="preserve">    ipronto:triggeredBy    "death of author" ;</w:t>
        <w:br/>
        <w:t xml:space="preserve">    legal:articleRef       "Art. 29 URG" ;</w:t>
        <w:br/>
        <w:t xml:space="preserve">    legal:frbrWorkUri      "https://www.admin.ch/eli/cc/..." ;</w:t>
        <w:br/>
        <w:t xml:space="preserve">    legal:pointInTime      "2022-01-01"^^xsd:date ;</w:t>
        <w:br/>
        <w:t xml:space="preserve">    legal:isAuthoritative  true^^xsd:boolean ;</w:t>
        <w:br/>
        <w:t xml:space="preserve">    legal:compliesWith     ex:WIPO_berne_art7 .</w:t>
        <w:br/>
        <w:br/>
        <w:t>ex:WIPO_berne_art7  a ipronto:ExploitationRight ;</w:t>
        <w:br/>
        <w:t xml:space="preserve">    legal:jurisdiction  "WIPO" ;</w:t>
        <w:br/>
        <w:t xml:space="preserve">    legal:durationYears 50 ;    # treaty minimum</w:t>
        <w:br/>
        <w:t xml:space="preserve">    legal:articleRef    "Art. 7 Berne Convention" .</w:t>
      </w:r>
    </w:p>
    <w:p>
      <w:pPr/>
      <w:r>
        <w:rPr>
          <w:b w:val="0"/>
          <w:i w:val="0"/>
        </w:rPr>
        <w:t>The legal:durationYears integer literal enables numeric compliance comparison without string parsing. When the jurisdiction is unknown the system falls back to a pre-populated Berne Convention evidence record.</w:t>
      </w:r>
    </w:p>
    <w:p>
      <w:pPr>
        <w:pStyle w:val="Heading2"/>
      </w:pPr>
      <w:r>
        <w:t>Stage 3 -- AKN Passage Extraction (Symbolic)</w:t>
      </w:r>
    </w:p>
    <w:p>
      <w:pPr/>
      <w:r>
        <w:rPr>
          <w:b w:val="0"/>
          <w:i w:val="0"/>
        </w:rPr>
        <w:t>The article reference from the KG (e.g., "Art. 29 URG") is resolved to an AKN eId by the ArticleLocator module, which walks the parsed XML tree matching &lt;num&gt; element text. The corresponding AKN element is rendered as styled HTML with a highlighted supporting span. Both &lt;article&gt; (Swiss, French, Italian) and &lt;section&gt; (German, UK) provision types are handled. AKN files are not ingested into the KG; they are accessed at query time only.</w:t>
      </w:r>
    </w:p>
    <w:p>
      <w:pPr>
        <w:pStyle w:val="Heading2"/>
      </w:pPr>
      <w:r>
        <w:t>Stage 4 -- Authentic Source Attribution (Symbolic)</w:t>
      </w:r>
    </w:p>
    <w:p>
      <w:pPr/>
      <w:r>
        <w:rPr>
          <w:b w:val="0"/>
          <w:i w:val="0"/>
        </w:rPr>
        <w:t>Module scripts/akn_metadata.py extracts FRBR/ELI metadata from each AKN document, normalising across the heterogeneous attribute naming conventions present in the nine corpora. It returns:</w:t>
      </w:r>
    </w:p>
    <w:p>
      <w:pPr>
        <w:pStyle w:val="ListBullet"/>
      </w:pPr>
      <w:r>
        <w:t>Work URI (frbr_work_uri): the canonical Work-level identifier, rendered as an "Official Source" hyperlink in the UI -- e.g., https://www.legislation.gov.uk/ukpga/1988/48 for the UK CDPA.</w:t>
      </w:r>
    </w:p>
    <w:p>
      <w:pPr>
        <w:pStyle w:val="ListBullet"/>
      </w:pPr>
      <w:r>
        <w:t>Applicability date (point_in_time): FRBRdate[@name=dateApplicability] or, where absent, the entry-into-force date; displayed as a dated badge.</w:t>
      </w:r>
    </w:p>
    <w:p>
      <w:pPr>
        <w:pStyle w:val="ListBullet"/>
      </w:pPr>
      <w:r>
        <w:t>ELI URI (eli_uri): from FRBRalias[@name="eli"], present for Italy (urn:lex:it:stato:legge:...) and Switzerland.</w:t>
      </w:r>
    </w:p>
    <w:p>
      <w:pPr>
        <w:pStyle w:val="ListBullet"/>
      </w:pPr>
      <w:r>
        <w:t>Authenticity flag (is_authoritative): true when FRBRauthoritative or FRBRprescriptive carries value="true".</w:t>
      </w:r>
    </w:p>
    <w:p>
      <w:pPr/>
      <w:r>
        <w:rPr>
          <w:b w:val="0"/>
          <w:i w:val="0"/>
        </w:rPr>
        <w:t>These fields are embedded as KG triples at build time (legal:frbrWorkUri, legal:pointInTime, legal:isAuthoritative) and returned in every API response. The document viewer renders them as coloured badges (green for authoritative, blue for applicability date) and a clickable official-source link.</w:t>
      </w:r>
    </w:p>
    <w:p>
      <w:pPr>
        <w:pStyle w:val="Heading2"/>
      </w:pPr>
      <w:r>
        <w:t>Stage 5 -- Point-in-Time Navigation (Symbolic)</w:t>
      </w:r>
    </w:p>
    <w:p>
      <w:pPr/>
      <w:r>
        <w:rPr>
          <w:b w:val="0"/>
          <w:i w:val="0"/>
        </w:rPr>
        <w:t>Italy is the only jurisdiction for which multiple historical AKN expressions are available: 68 files from the Normattiva repository cover Legge 633/1941 from the original 1941 text through amendments to December 2025. Files follow the naming convention:</w:t>
      </w:r>
    </w:p>
    <w:p>
      <w:pPr>
        <w:spacing w:before="80" w:after="80"/>
        <w:ind w:left="576"/>
        <w:shd w:val="clear" w:color="auto" w:fill="F2F2F2"/>
      </w:pPr>
      <w:r>
        <w:rPr>
          <w:rFonts w:ascii="Courier New" w:hAnsi="Courier New"/>
          <w:sz w:val="18"/>
        </w:rPr>
        <w:t>1941-07-16_041U0633_VIGENZA_YYYY-MM-DD_Vn.xml</w:t>
      </w:r>
    </w:p>
    <w:p>
      <w:pPr/>
      <w:r>
        <w:rPr>
          <w:b w:val="0"/>
          <w:i w:val="0"/>
        </w:rPr>
        <w:t>where VIGENZA_YYYY-MM-DD is the vigenza date. Module scripts/point_in_time.py builds a sorted index of (valid_from, path) pairs and returns the latest version v with valid_from(v) &lt;= d_target. A POST /api/document endpoint exposes this. In the UI an Italian result renders a date picker; selecting a date re-fetches the appropriate historical version and updates all FRBR badges.</w:t>
      </w:r>
    </w:p>
    <w:p>
      <w:pPr>
        <w:pStyle w:val="Heading2"/>
      </w:pPr>
      <w:r>
        <w:t>Stage 6 -- Answer Generation and Compliance Checker</w:t>
      </w:r>
    </w:p>
    <w:p>
      <w:pPr/>
      <w:r>
        <w:rPr>
          <w:b/>
        </w:rPr>
        <w:t xml:space="preserve">Stage 6a (Neural). </w:t>
      </w:r>
      <w:r>
        <w:t>For Q&amp;A queries the KG evidence (passage, article reference, document title, FRBR Work URI) is serialised and passed to the LLM with a grounding-focused prompt constrained to 2-4 sentences citing the article.</w:t>
      </w:r>
    </w:p>
    <w:p>
      <w:pPr/>
      <w:r>
        <w:rPr>
          <w:b/>
        </w:rPr>
        <w:t xml:space="preserve">Stage 6b (Symbolic). </w:t>
      </w:r>
      <w:r>
        <w:t>The compliance checker reads legal:durationYears from both the country KG node and ex:WIPO_berne_art7, computes the margin, and emits a structured verdict rendered as a side-by-side comparison card. No LLM is involved; latency is under 20 ms.</w:t>
      </w:r>
    </w:p>
    <w:p>
      <w:pPr>
        <w:pStyle w:val="Heading1"/>
      </w:pPr>
      <w:r>
        <w:t>4. Implementation</w:t>
      </w:r>
    </w:p>
    <w:p>
      <w:pPr/>
      <w:r>
        <w:rPr>
          <w:b w:val="0"/>
          <w:i w:val="0"/>
        </w:rPr>
        <w:t>The system is a Flask web application with two UI modes (Q&amp;A and Compliance Check). The right panel is a shared document viewer rendering AKN HTML, the FRBR meta bar, and -- for Italian documents -- the point-in-time date picker.</w:t>
      </w:r>
    </w:p>
    <w:tbl>
      <w:tblPr>
        <w:tblStyle w:val="TableGrid"/>
        <w:tblW w:type="auto" w:w="0"/>
        <w:tblLook w:firstColumn="1" w:firstRow="1" w:lastColumn="0" w:lastRow="0" w:noHBand="0" w:noVBand="1" w:val="04A0"/>
      </w:tblPr>
      <w:tblGrid>
        <w:gridCol w:w="4419"/>
        <w:gridCol w:w="4419"/>
      </w:tblGrid>
      <w:tr>
        <w:tc>
          <w:tcPr>
            <w:tcW w:type="dxa" w:w="4419"/>
          </w:tcPr>
          <w:p>
            <w:r>
              <w:rPr>
                <w:b/>
              </w:rPr>
              <w:t>Component</w:t>
            </w:r>
          </w:p>
        </w:tc>
        <w:tc>
          <w:tcPr>
            <w:tcW w:type="dxa" w:w="4419"/>
          </w:tcPr>
          <w:p>
            <w:r>
              <w:rPr>
                <w:b/>
              </w:rPr>
              <w:t>Technology</w:t>
            </w:r>
          </w:p>
        </w:tc>
      </w:tr>
      <w:tr>
        <w:tc>
          <w:tcPr>
            <w:tcW w:type="dxa" w:w="4419"/>
          </w:tcPr>
          <w:p>
            <w:r>
              <w:t>Web framework</w:t>
            </w:r>
          </w:p>
        </w:tc>
        <w:tc>
          <w:tcPr>
            <w:tcW w:type="dxa" w:w="4419"/>
          </w:tcPr>
          <w:p>
            <w:r>
              <w:t>Flask (Python 3.12)</w:t>
            </w:r>
          </w:p>
        </w:tc>
      </w:tr>
      <w:tr>
        <w:tc>
          <w:tcPr>
            <w:tcW w:type="dxa" w:w="4419"/>
          </w:tcPr>
          <w:p>
            <w:r>
              <w:t>KG store</w:t>
            </w:r>
          </w:p>
        </w:tc>
        <w:tc>
          <w:tcPr>
            <w:tcW w:type="dxa" w:w="4419"/>
          </w:tcPr>
          <w:p>
            <w:r>
              <w:t>rdflib 7 (in-memory, TTL serialisation)</w:t>
            </w:r>
          </w:p>
        </w:tc>
      </w:tr>
      <w:tr>
        <w:tc>
          <w:tcPr>
            <w:tcW w:type="dxa" w:w="4419"/>
          </w:tcPr>
          <w:p>
            <w:r>
              <w:t>XML parsing</w:t>
            </w:r>
          </w:p>
        </w:tc>
        <w:tc>
          <w:tcPr>
            <w:tcW w:type="dxa" w:w="4419"/>
          </w:tcPr>
          <w:p>
            <w:r>
              <w:t>lxml</w:t>
            </w:r>
          </w:p>
        </w:tc>
      </w:tr>
      <w:tr>
        <w:tc>
          <w:tcPr>
            <w:tcW w:type="dxa" w:w="4419"/>
          </w:tcPr>
          <w:p>
            <w:r>
              <w:t>LLM</w:t>
            </w:r>
          </w:p>
        </w:tc>
        <w:tc>
          <w:tcPr>
            <w:tcW w:type="dxa" w:w="4419"/>
          </w:tcPr>
          <w:p>
            <w:r>
              <w:t>OpenRouter API (Gemini 2.0 Flash)</w:t>
            </w:r>
          </w:p>
        </w:tc>
      </w:tr>
      <w:tr>
        <w:tc>
          <w:tcPr>
            <w:tcW w:type="dxa" w:w="4419"/>
          </w:tcPr>
          <w:p>
            <w:r>
              <w:t>Schema validation</w:t>
            </w:r>
          </w:p>
        </w:tc>
        <w:tc>
          <w:tcPr>
            <w:tcW w:type="dxa" w:w="4419"/>
          </w:tcPr>
          <w:p>
            <w:r>
              <w:t>Pydantic v2</w:t>
            </w:r>
          </w:p>
        </w:tc>
      </w:tr>
      <w:tr>
        <w:tc>
          <w:tcPr>
            <w:tcW w:type="dxa" w:w="4419"/>
          </w:tcPr>
          <w:p>
            <w:r>
              <w:t>Legal documents</w:t>
            </w:r>
          </w:p>
        </w:tc>
        <w:tc>
          <w:tcPr>
            <w:tcW w:type="dxa" w:w="4419"/>
          </w:tcPr>
          <w:p>
            <w:r>
              <w:t>AKN XML (9 jurisdictions; 68 IT versions)</w:t>
            </w:r>
          </w:p>
        </w:tc>
      </w:tr>
      <w:tr>
        <w:tc>
          <w:tcPr>
            <w:tcW w:type="dxa" w:w="4419"/>
          </w:tcPr>
          <w:p>
            <w:r>
              <w:t>Ontology</w:t>
            </w:r>
          </w:p>
        </w:tc>
        <w:tc>
          <w:tcPr>
            <w:tcW w:type="dxa" w:w="4419"/>
          </w:tcPr>
          <w:p>
            <w:r>
              <w:t>IPROnto OWL [4]</w:t>
            </w:r>
          </w:p>
        </w:tc>
      </w:tr>
      <w:tr>
        <w:tc>
          <w:tcPr>
            <w:tcW w:type="dxa" w:w="4419"/>
          </w:tcPr>
          <w:p>
            <w:r>
              <w:t>FRBR extraction</w:t>
            </w:r>
          </w:p>
        </w:tc>
        <w:tc>
          <w:tcPr>
            <w:tcW w:type="dxa" w:w="4419"/>
          </w:tcPr>
          <w:p>
            <w:r>
              <w:t>scripts/akn_metadata.py</w:t>
            </w:r>
          </w:p>
        </w:tc>
      </w:tr>
      <w:tr>
        <w:tc>
          <w:tcPr>
            <w:tcW w:type="dxa" w:w="4419"/>
          </w:tcPr>
          <w:p>
            <w:r>
              <w:t>Temporal index</w:t>
            </w:r>
          </w:p>
        </w:tc>
        <w:tc>
          <w:tcPr>
            <w:tcW w:type="dxa" w:w="4419"/>
          </w:tcPr>
          <w:p>
            <w:r>
              <w:t>scripts/point_in_time.py</w:t>
            </w:r>
          </w:p>
        </w:tc>
      </w:tr>
    </w:tbl>
    <w:p/>
    <w:p>
      <w:pPr/>
      <w:r>
        <w:rPr>
          <w:b w:val="0"/>
          <w:i w:val="0"/>
        </w:rPr>
        <w:t>The KG is built from a curated CSV (9 rows, one per jurisdiction) on first request and cached in memory. FRBR metadata triples are embedded at build time. Total triples: 446.</w:t>
      </w:r>
    </w:p>
    <w:p>
      <w:pPr>
        <w:pStyle w:val="Heading1"/>
      </w:pPr>
      <w:r>
        <w:t>5. Evaluation</w:t>
      </w:r>
    </w:p>
    <w:p>
      <w:pPr/>
      <w:r>
        <w:rPr>
          <w:b/>
        </w:rPr>
        <w:t xml:space="preserve">Q&amp;A mode. </w:t>
      </w:r>
      <w:r>
        <w:t>Questions in Italian, English, French, and German are correctly enriched and routed to the right jurisdiction and rule type. AKN passage extraction is verified for all nine corpora, covering both &lt;article&gt; and &lt;section&gt; provision types. Grounded answers always cite the article reference derived from KG evidence, not from LLM parametric memory.</w:t>
      </w:r>
    </w:p>
    <w:p>
      <w:pPr/>
      <w:r>
        <w:rPr>
          <w:b/>
        </w:rPr>
        <w:t xml:space="preserve">Compliance checking. </w:t>
      </w:r>
      <w:r>
        <w:t>All 9 jurisdictions yield correct verdicts. New Zealand (50 years, exactly at the Berne minimum) and all 70-year jurisdictions are correctly classified. The compliance margin (e.g., +20 years for the EU) is computed in under 20 ms without LLM involvement.</w:t>
      </w:r>
    </w:p>
    <w:p>
      <w:pPr/>
      <w:r>
        <w:rPr>
          <w:b/>
        </w:rPr>
        <w:t xml:space="preserve">Authentic source attribution. </w:t>
      </w:r>
      <w:r>
        <w:t>FRBR Work URIs are extracted and rendered for all 9 corpora. Authenticity flags differ: UK (FRBRprescriptive), Switzerland and Italy (FRBRauthoritative), others absent. ELI URIs are present for Italy and Switzerland.</w:t>
      </w:r>
    </w:p>
    <w:p>
      <w:pPr/>
      <w:r>
        <w:rPr>
          <w:b/>
        </w:rPr>
        <w:t xml:space="preserve">Point-in-time navigation. </w:t>
      </w:r>
      <w:r>
        <w:t>The date picker correctly resolves Italian copyright law versions across 1941-2025. Selecting 1973-05-30 returns V5 (in force since 1955-01-27); selecting 1973-06-01 returns V6 (in force since 1973-05-31), demonstrating day-level precision over the 68-version index.</w:t>
      </w:r>
    </w:p>
    <w:p>
      <w:pPr>
        <w:pStyle w:val="Heading1"/>
      </w:pPr>
      <w:r>
        <w:t>6. Limitations and Future Work</w:t>
      </w:r>
    </w:p>
    <w:p>
      <w:pPr/>
      <w:r>
        <w:rPr>
          <w:b/>
        </w:rPr>
        <w:t xml:space="preserve">Temporal KG triples. </w:t>
      </w:r>
      <w:r>
        <w:t>Point-in-time navigation currently operates at the document level: the entire AKN expression is swapped. The KG carries no valid_from/valid_until timestamps on individual triples. Adding temporal validity via RDF-star and querying with SPARQL-star would enable temporal compliance questions at the KG level (e.g., "Was France compliant on 1995-01-01?").</w:t>
      </w:r>
    </w:p>
    <w:p>
      <w:pPr/>
      <w:r>
        <w:rPr>
          <w:b/>
        </w:rPr>
        <w:t xml:space="preserve">Bidirectional monitoring. </w:t>
      </w:r>
      <w:r>
        <w:t>Only national -&gt; treaty compliance is implemented. The reverse -- which countries have not yet transposed Directive X? -- requires transposition deadline data absent from the current dataset.</w:t>
      </w:r>
    </w:p>
    <w:p>
      <w:pPr/>
      <w:r>
        <w:rPr>
          <w:b/>
        </w:rPr>
        <w:t xml:space="preserve">Semantic equivalence reasoning. </w:t>
      </w:r>
      <w:r>
        <w:t>Numeric comparison (70 &gt;= 50) handles duration correctly. For rights-dimension compliance OWL-RL reasoning over the IPROnto class hierarchy is required.</w:t>
      </w:r>
    </w:p>
    <w:p>
      <w:pPr/>
      <w:r>
        <w:rPr>
          <w:b/>
        </w:rPr>
        <w:t xml:space="preserve">KG scale and automation. </w:t>
      </w:r>
      <w:r>
        <w:t>The dataset covers 3 rule types x 9 jurisdictions = 27 core nodes. A production system requires automatic AKN-to-RDF ingestion and integration with live sources (EUR-Lex, national gazette APIs).</w:t>
      </w:r>
    </w:p>
    <w:p>
      <w:pPr/>
      <w:r>
        <w:rPr>
          <w:b/>
        </w:rPr>
        <w:t xml:space="preserve">eId-based subject URIs. </w:t>
      </w:r>
      <w:r>
        <w:t>Subject URIs follow ex:CH_duration rather than ex:CH_art_29. Embedding the eId would allow SPARQL to directly dereference AKN provisions, eliminating the ArticleLocator lookup.</w:t>
      </w:r>
    </w:p>
    <w:p>
      <w:pPr/>
      <w:r>
        <w:rPr>
          <w:b/>
        </w:rPr>
        <w:t xml:space="preserve">Point-in-time coverage. </w:t>
      </w:r>
      <w:r>
        <w:t>The 68-version temporal index covers only Italy (Normattiva corpus). The same approach applies to any jurisdiction with versioned AKN corpora (EUR-Lex, legislation.gov.uk).</w:t>
      </w:r>
    </w:p>
    <w:p>
      <w:pPr>
        <w:pStyle w:val="Heading1"/>
      </w:pPr>
      <w:r>
        <w:t>7. Conclusion</w:t>
      </w:r>
    </w:p>
    <w:p>
      <w:pPr/>
      <w:r>
        <w:rPr>
          <w:b w:val="0"/>
          <w:i w:val="0"/>
        </w:rPr>
        <w:t>This MVP demonstrates that a neuro-symbolic pipeline -- LLM for query understanding and answer generation, SPARQL+RDF for structured retrieval, AKN XML for source grounding -- is a viable architecture for legal IP compliance monitoring, implementable within a hackathon timeframe. The two new components -- authentic source attribution via FRBR/ELI extraction, and point-in-time navigation via the 68-version Italian corpus -- directly address the requirements for traceable, temporally grounded legal information retrieval. The compliance checker, grounded in integer-typed KG triples and ipronto:compliesWith links, confirms that the symbolic layer can answer structured compliance questions without LLM involvement, reducing both latency and hallucination risk. The limitations in Section 6 -- temporal KG triples, bidirectional monitoring, OWL reasoning, KG scale -- constitute the roadmap from this prototype toward a production-grade system.</w:t>
      </w:r>
    </w:p>
    <w:p>
      <w:pPr>
        <w:pStyle w:val="Heading1"/>
      </w:pPr>
      <w:r>
        <w:t>References</w:t>
      </w:r>
    </w:p>
    <w:p>
      <w:pPr>
        <w:spacing w:after="60"/>
        <w:ind w:left="504" w:hanging="504"/>
      </w:pPr>
      <w:r>
        <w:rPr>
          <w:sz w:val="20"/>
        </w:rPr>
        <w:t>[1] Palmirani, M., Vitali, F.: Akoma-Ntoso for legal documents. In: Legislative XML for the Semantic Web, pp. 75-100. Springer, Dordrecht (2011). https://doi.org/10.1007/978-94-007-1887-6_5</w:t>
      </w:r>
    </w:p>
    <w:p>
      <w:pPr>
        <w:spacing w:after="60"/>
        <w:ind w:left="504" w:hanging="504"/>
      </w:pPr>
      <w:r>
        <w:rPr>
          <w:sz w:val="20"/>
        </w:rPr>
        <w:t>[2] IFLA Study Group on FRBR: Functional Requirements for Bibliographic Records. IFLA, Munich (1998).</w:t>
      </w:r>
    </w:p>
    <w:p>
      <w:pPr>
        <w:spacing w:after="60"/>
        <w:ind w:left="504" w:hanging="504"/>
      </w:pPr>
      <w:r>
        <w:rPr>
          <w:sz w:val="20"/>
        </w:rPr>
        <w:t>[3] Publications Office of the EU: European Legislation Identifier (ELI). Official Journal of the EU, 2012/C 325/02 (2012).</w:t>
      </w:r>
    </w:p>
    <w:p>
      <w:pPr>
        <w:spacing w:after="60"/>
        <w:ind w:left="504" w:hanging="504"/>
      </w:pPr>
      <w:r>
        <w:rPr>
          <w:sz w:val="20"/>
        </w:rPr>
        <w:t>[4] Delgado, J., Gallego, I., Llorente, S., Garcia, R.: IPROnto: An Ontology for Intellectual Property Rights. DMAG, Universitat Politecnica de Catalunya (2003). http://dmag.ac.upc.edu/ontologies/ipronto.owl</w:t>
      </w:r>
    </w:p>
    <w:p>
      <w:pPr>
        <w:spacing w:after="60"/>
        <w:ind w:left="504" w:hanging="504"/>
      </w:pPr>
      <w:r>
        <w:rPr>
          <w:sz w:val="20"/>
        </w:rPr>
        <w:t>[5] Palmirani, M., et al.: LegalRuleML: XML-Based Rules and Norms. In: RuleML 2011, LNCS 6826, pp. 298-312. Springer (2011).</w:t>
      </w:r>
    </w:p>
    <w:p>
      <w:pPr>
        <w:spacing w:after="60"/>
        <w:ind w:left="504" w:hanging="504"/>
      </w:pPr>
      <w:r>
        <w:rPr>
          <w:sz w:val="20"/>
        </w:rPr>
        <w:t>[6] Nardi, D. et al.: An Analysis of Ontologies for the Intellectual Property Domain. In: Proceedings of IRIS 2026 (this volume).</w:t>
      </w:r>
    </w:p>
    <w:p>
      <w:pPr>
        <w:spacing w:after="60"/>
        <w:ind w:left="504" w:hanging="504"/>
      </w:pPr>
      <w:r>
        <w:rPr>
          <w:sz w:val="20"/>
        </w:rPr>
        <w:t>[7] Hitzler, P., Sarker, M.K.: Neuro-Symbolic Artificial Intelligence: The State of the Art. IOS Press, Amsterdam (2022).</w:t>
      </w:r>
    </w:p>
    <w:p>
      <w:pPr>
        <w:spacing w:after="60"/>
        <w:ind w:left="504" w:hanging="504"/>
      </w:pPr>
      <w:r>
        <w:rPr>
          <w:sz w:val="20"/>
        </w:rPr>
        <w:t>[8] Huang, L. et al.: A Survey on Hallucination in Large Language Models. arXiv:2311.05232 (2023).</w:t>
      </w:r>
    </w:p>
    <w:p>
      <w:pPr>
        <w:spacing w:after="60"/>
        <w:ind w:left="504" w:hanging="504"/>
      </w:pPr>
      <w:r>
        <w:rPr>
          <w:sz w:val="20"/>
        </w:rPr>
        <w:t>[9] OASIS: Akoma Ntoso Version 1.0. OASIS Standard (2018). http://docs.oasis-open.org/legaldocml/akn-core/v1.0/</w:t>
      </w:r>
    </w:p>
    <w:p>
      <w:pPr>
        <w:spacing w:after="60"/>
        <w:ind w:left="504" w:hanging="504"/>
      </w:pPr>
      <w:r>
        <w:rPr>
          <w:sz w:val="20"/>
        </w:rPr>
        <w:t>[10] WIPO: Berne Convention for the Protection of Literary and Artistic Works, Art. 7. WIPO, Geneva (1886, as amended 1979). https://www.wipo.int/treaties/en/ip/berne/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1E3A5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334155"/>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