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A0AD6">
        <w:rPr>
          <w:rFonts w:asciiTheme="minorHAnsi" w:hAnsiTheme="minorHAnsi"/>
          <w:u w:val="single"/>
        </w:rPr>
        <w:t xml:space="preserve">Geltungsbereich: 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 xml:space="preserve">Diese Verfahrensanweisung gilt </w:t>
      </w:r>
      <w:r w:rsidR="000D7302" w:rsidRPr="00EA0AD6">
        <w:rPr>
          <w:rFonts w:asciiTheme="minorHAnsi" w:hAnsiTheme="minorHAnsi"/>
        </w:rPr>
        <w:t>für alle</w:t>
      </w:r>
      <w:r w:rsidRPr="00EA0AD6">
        <w:rPr>
          <w:rFonts w:asciiTheme="minorHAnsi" w:hAnsiTheme="minorHAnsi"/>
        </w:rPr>
        <w:t xml:space="preserve"> </w:t>
      </w:r>
      <w:r w:rsidR="000D7302" w:rsidRPr="00EA0AD6">
        <w:rPr>
          <w:rFonts w:asciiTheme="minorHAnsi" w:hAnsiTheme="minorHAnsi"/>
        </w:rPr>
        <w:t>Fahrzeuge/Fahrer</w:t>
      </w:r>
      <w:r w:rsidRPr="00EA0AD6">
        <w:rPr>
          <w:rFonts w:asciiTheme="minorHAnsi" w:hAnsiTheme="minorHAnsi"/>
        </w:rPr>
        <w:t xml:space="preserve"> des </w:t>
      </w:r>
      <w:r w:rsidR="004B2FD5" w:rsidRPr="00EA0AD6">
        <w:rPr>
          <w:rFonts w:asciiTheme="minorHAnsi" w:hAnsiTheme="minorHAnsi"/>
        </w:rPr>
        <w:t>Unternehmens</w:t>
      </w:r>
      <w:r w:rsidR="001E5B59" w:rsidRPr="00EA0AD6">
        <w:rPr>
          <w:rFonts w:asciiTheme="minorHAnsi" w:hAnsiTheme="minorHAnsi"/>
        </w:rPr>
        <w:t xml:space="preserve">, welche </w:t>
      </w:r>
      <w:r w:rsidR="0056069F">
        <w:rPr>
          <w:rFonts w:asciiTheme="minorHAnsi" w:hAnsiTheme="minorHAnsi"/>
        </w:rPr>
        <w:t>GDP - Transporte</w:t>
      </w:r>
      <w:r w:rsidR="001E5B59" w:rsidRPr="00EA0AD6">
        <w:rPr>
          <w:rFonts w:asciiTheme="minorHAnsi" w:hAnsiTheme="minorHAnsi"/>
        </w:rPr>
        <w:t xml:space="preserve"> </w:t>
      </w:r>
      <w:r w:rsidR="000D7302" w:rsidRPr="00EA0AD6">
        <w:rPr>
          <w:rFonts w:asciiTheme="minorHAnsi" w:hAnsiTheme="minorHAnsi"/>
        </w:rPr>
        <w:t>ausführen</w:t>
      </w:r>
      <w:r w:rsidR="00010287" w:rsidRPr="00EA0AD6">
        <w:rPr>
          <w:rFonts w:asciiTheme="minorHAnsi" w:hAnsiTheme="minorHAnsi"/>
        </w:rPr>
        <w:t>.</w:t>
      </w:r>
      <w:r w:rsidRPr="00EA0AD6">
        <w:rPr>
          <w:rFonts w:asciiTheme="minorHAnsi" w:hAnsiTheme="minorHAnsi"/>
        </w:rPr>
        <w:t xml:space="preserve"> </w:t>
      </w:r>
      <w:r w:rsidR="00E86C96" w:rsidRPr="00EA0AD6">
        <w:rPr>
          <w:rFonts w:asciiTheme="minorHAnsi" w:hAnsiTheme="minorHAnsi"/>
        </w:rPr>
        <w:t>Die Ladungs</w:t>
      </w:r>
      <w:r w:rsidR="009B3FC9" w:rsidRPr="00EA0AD6">
        <w:rPr>
          <w:rFonts w:asciiTheme="minorHAnsi" w:hAnsiTheme="minorHAnsi"/>
        </w:rPr>
        <w:t xml:space="preserve">kontrolle ist jeweils </w:t>
      </w:r>
      <w:r w:rsidR="00E86C96" w:rsidRPr="00EA0AD6">
        <w:rPr>
          <w:rFonts w:asciiTheme="minorHAnsi" w:hAnsiTheme="minorHAnsi"/>
        </w:rPr>
        <w:t>bei Abholung und Lieferung der Ladung</w:t>
      </w:r>
      <w:r w:rsidR="009B3FC9" w:rsidRPr="00EA0AD6">
        <w:rPr>
          <w:rFonts w:asciiTheme="minorHAnsi" w:hAnsiTheme="minorHAnsi"/>
        </w:rPr>
        <w:t xml:space="preserve"> durchzuführen. </w:t>
      </w:r>
    </w:p>
    <w:p w:rsidR="00953D1A" w:rsidRPr="00EA0AD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Prozessverantwortlicher:</w:t>
      </w:r>
    </w:p>
    <w:p w:rsidR="00953D1A" w:rsidRPr="00EA0AD6" w:rsidRDefault="0056069F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EA0AD6">
        <w:rPr>
          <w:rFonts w:asciiTheme="minorHAnsi" w:hAnsiTheme="minorHAnsi"/>
        </w:rPr>
        <w:t>eauftragter</w:t>
      </w:r>
      <w:r w:rsidR="00884C17" w:rsidRPr="00EA0AD6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EA0AD6">
        <w:rPr>
          <w:rFonts w:asciiTheme="minorHAnsi" w:hAnsiTheme="minorHAnsi"/>
        </w:rPr>
        <w:t>B)</w:t>
      </w:r>
    </w:p>
    <w:p w:rsidR="00953D1A" w:rsidRPr="00EA0AD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Ziel und Zweck 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Durch den geregelten Ablauf des Prozes</w:t>
      </w:r>
      <w:r w:rsidR="00F3686D" w:rsidRPr="00EA0AD6">
        <w:rPr>
          <w:rFonts w:asciiTheme="minorHAnsi" w:hAnsiTheme="minorHAnsi"/>
        </w:rPr>
        <w:t>ses „</w:t>
      </w:r>
      <w:r w:rsidR="00E86C96" w:rsidRPr="00EA0AD6">
        <w:rPr>
          <w:rFonts w:asciiTheme="minorHAnsi" w:hAnsiTheme="minorHAnsi"/>
        </w:rPr>
        <w:t>Ladungs</w:t>
      </w:r>
      <w:r w:rsidR="000D7302" w:rsidRPr="00EA0AD6">
        <w:rPr>
          <w:rFonts w:asciiTheme="minorHAnsi" w:hAnsiTheme="minorHAnsi"/>
        </w:rPr>
        <w:t>kontrolle</w:t>
      </w:r>
      <w:r w:rsidRPr="00EA0AD6">
        <w:rPr>
          <w:rFonts w:asciiTheme="minorHAnsi" w:hAnsiTheme="minorHAnsi"/>
        </w:rPr>
        <w:t xml:space="preserve">“ soll eine </w:t>
      </w:r>
      <w:r w:rsidR="000D7302" w:rsidRPr="00EA0AD6">
        <w:rPr>
          <w:rFonts w:asciiTheme="minorHAnsi" w:hAnsiTheme="minorHAnsi"/>
        </w:rPr>
        <w:t xml:space="preserve">durchgehende und qualitativ hochwertige Kontrolle </w:t>
      </w:r>
      <w:r w:rsidR="00E86C96" w:rsidRPr="00EA0AD6">
        <w:rPr>
          <w:rFonts w:asciiTheme="minorHAnsi" w:hAnsiTheme="minorHAnsi"/>
        </w:rPr>
        <w:t>der Ladung bei Abholung und Lieferung</w:t>
      </w:r>
      <w:r w:rsidR="000D7302" w:rsidRPr="00EA0AD6">
        <w:rPr>
          <w:rFonts w:asciiTheme="minorHAnsi" w:hAnsiTheme="minorHAnsi"/>
        </w:rPr>
        <w:t xml:space="preserve"> erfolgen um </w:t>
      </w:r>
      <w:r w:rsidR="00E86C96" w:rsidRPr="00EA0AD6">
        <w:rPr>
          <w:rFonts w:asciiTheme="minorHAnsi" w:hAnsiTheme="minorHAnsi"/>
        </w:rPr>
        <w:t>die Abwehr von Betrug und Täuschungen</w:t>
      </w:r>
      <w:r w:rsidR="000D7302" w:rsidRPr="00EA0AD6">
        <w:rPr>
          <w:rFonts w:asciiTheme="minorHAnsi" w:hAnsiTheme="minorHAnsi"/>
        </w:rPr>
        <w:t xml:space="preserve"> sicher zu stellen</w:t>
      </w:r>
      <w:r w:rsidR="00010287" w:rsidRPr="00EA0AD6">
        <w:rPr>
          <w:rFonts w:asciiTheme="minorHAnsi" w:hAnsiTheme="minorHAnsi"/>
        </w:rPr>
        <w:t xml:space="preserve">. </w:t>
      </w:r>
      <w:r w:rsidR="00FC1B49" w:rsidRPr="00EA0AD6">
        <w:rPr>
          <w:rFonts w:asciiTheme="minorHAnsi" w:hAnsiTheme="minorHAnsi"/>
        </w:rPr>
        <w:t>Dazu dient auch, dass nach eine</w:t>
      </w:r>
      <w:r w:rsidR="00503DD5">
        <w:rPr>
          <w:rFonts w:asciiTheme="minorHAnsi" w:hAnsiTheme="minorHAnsi"/>
        </w:rPr>
        <w:t>m</w:t>
      </w:r>
      <w:r w:rsidR="00FC1B49" w:rsidRPr="00EA0AD6">
        <w:rPr>
          <w:rFonts w:asciiTheme="minorHAnsi" w:hAnsiTheme="minorHAnsi"/>
        </w:rPr>
        <w:t xml:space="preserve"> Stopp eine Sichtkontrolle des Fahrzeugs und Trailer durchzuführen ist. Bei längerem Stopp (z.B. über 1 Stunde) ist der Auflieger / Chassis so abzustellen, dass niemand die Türen erreicht, z.B. durch rückwärtiges Ansetzen an eine Wand</w:t>
      </w:r>
      <w:r w:rsidR="00C102EA" w:rsidRPr="00EA0AD6">
        <w:rPr>
          <w:rFonts w:asciiTheme="minorHAnsi" w:hAnsiTheme="minorHAnsi"/>
        </w:rPr>
        <w:t xml:space="preserve"> oder an ein anderes Fahrzeug</w:t>
      </w:r>
      <w:r w:rsidR="00FC1B49" w:rsidRPr="00EA0AD6">
        <w:rPr>
          <w:rFonts w:asciiTheme="minorHAnsi" w:hAnsiTheme="minorHAnsi"/>
        </w:rPr>
        <w:t>.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Begriffe:</w:t>
      </w:r>
    </w:p>
    <w:p w:rsidR="009B3FC9" w:rsidRPr="00EA0AD6" w:rsidRDefault="009B3FC9" w:rsidP="009B3FC9">
      <w:pPr>
        <w:pStyle w:val="Listenabsatz"/>
        <w:numPr>
          <w:ilvl w:val="0"/>
          <w:numId w:val="1"/>
        </w:num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Nicht zutreffend</w:t>
      </w:r>
      <w:bookmarkStart w:id="0" w:name="_GoBack"/>
      <w:bookmarkEnd w:id="0"/>
    </w:p>
    <w:p w:rsidR="00540C54" w:rsidRPr="00EA0AD6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Prozessbeschreibung:</w:t>
      </w:r>
    </w:p>
    <w:p w:rsidR="00953D1A" w:rsidRPr="00EA0AD6" w:rsidRDefault="00953D1A" w:rsidP="00953D1A">
      <w:pPr>
        <w:rPr>
          <w:rFonts w:asciiTheme="minorHAnsi" w:hAnsiTheme="minorHAnsi"/>
        </w:rPr>
      </w:pPr>
      <w:r w:rsidRPr="00EA0AD6">
        <w:rPr>
          <w:rFonts w:asciiTheme="minorHAnsi" w:hAnsiTheme="minorHAnsi"/>
        </w:rPr>
        <w:t>Im Folgenden befindet sich die Prozessbeschreibung für</w:t>
      </w:r>
      <w:r w:rsidR="00010287" w:rsidRPr="00EA0AD6">
        <w:rPr>
          <w:rFonts w:asciiTheme="minorHAnsi" w:hAnsiTheme="minorHAnsi"/>
        </w:rPr>
        <w:t xml:space="preserve"> das </w:t>
      </w:r>
      <w:r w:rsidR="00E86C96" w:rsidRPr="00EA0AD6">
        <w:rPr>
          <w:rFonts w:asciiTheme="minorHAnsi" w:hAnsiTheme="minorHAnsi"/>
        </w:rPr>
        <w:t>Landungs</w:t>
      </w:r>
      <w:r w:rsidR="009B3FC9" w:rsidRPr="00EA0AD6">
        <w:rPr>
          <w:rFonts w:asciiTheme="minorHAnsi" w:hAnsiTheme="minorHAnsi"/>
        </w:rPr>
        <w:t>kontrolle</w:t>
      </w:r>
      <w:r w:rsidRPr="00EA0AD6">
        <w:rPr>
          <w:rFonts w:asciiTheme="minorHAnsi" w:hAnsiTheme="minorHAnsi"/>
        </w:rPr>
        <w:t>:</w:t>
      </w:r>
    </w:p>
    <w:p w:rsidR="00953D1A" w:rsidRPr="00EA0AD6" w:rsidRDefault="00953D1A" w:rsidP="00953D1A"/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EA0AD6" w:rsidTr="00BC65D9">
        <w:tc>
          <w:tcPr>
            <w:tcW w:w="675" w:type="dxa"/>
            <w:shd w:val="clear" w:color="auto" w:fill="E0E0E0"/>
          </w:tcPr>
          <w:p w:rsidR="00953D1A" w:rsidRPr="00EA0AD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EA0AD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EA0AD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EA0AD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EA0AD6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EA0AD6" w:rsidRDefault="00D53902" w:rsidP="00E86C9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erhält 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>Fahrauftrag und Frachtpapiere</w:t>
            </w:r>
          </w:p>
        </w:tc>
        <w:tc>
          <w:tcPr>
            <w:tcW w:w="1843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EA0AD6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EA0AD6" w:rsidRDefault="00E86C96" w:rsidP="008F26B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holt/bringt Ware nur an </w:t>
            </w:r>
            <w:r w:rsidR="008F26BF" w:rsidRPr="00EA0AD6">
              <w:rPr>
                <w:rFonts w:asciiTheme="minorHAnsi" w:hAnsiTheme="minorHAnsi"/>
                <w:b/>
                <w:sz w:val="18"/>
                <w:szCs w:val="18"/>
              </w:rPr>
              <w:t>im Frachtbrief vorgegebene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Adresse </w:t>
            </w:r>
          </w:p>
        </w:tc>
        <w:tc>
          <w:tcPr>
            <w:tcW w:w="1843" w:type="dxa"/>
          </w:tcPr>
          <w:p w:rsidR="00953D1A" w:rsidRPr="00EA0AD6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9" w:type="dxa"/>
          </w:tcPr>
          <w:p w:rsidR="00953D1A" w:rsidRPr="00EA0AD6" w:rsidRDefault="009B3FC9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F</w:t>
            </w:r>
            <w:r w:rsidR="00E86C96" w:rsidRPr="00EA0AD6">
              <w:rPr>
                <w:rFonts w:asciiTheme="minorHAnsi" w:hAnsiTheme="minorHAnsi"/>
                <w:sz w:val="18"/>
                <w:szCs w:val="18"/>
              </w:rPr>
              <w:t>ahrauftrag</w:t>
            </w:r>
          </w:p>
        </w:tc>
        <w:tc>
          <w:tcPr>
            <w:tcW w:w="3694" w:type="dxa"/>
          </w:tcPr>
          <w:p w:rsidR="00043EB8" w:rsidRPr="00EA0AD6" w:rsidRDefault="00E86C96" w:rsidP="00BC65D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klärt Erlaubnis über Anwesenheit bei Be-/Entladung. Bei Verweigerung erfolgt Dokumentation auf Fahrauftrag. </w:t>
            </w:r>
          </w:p>
        </w:tc>
        <w:tc>
          <w:tcPr>
            <w:tcW w:w="1843" w:type="dxa"/>
          </w:tcPr>
          <w:p w:rsidR="00953D1A" w:rsidRPr="00EA0AD6" w:rsidRDefault="009B3FC9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06763" w:rsidRPr="00EA0AD6" w:rsidTr="00BC65D9">
        <w:tc>
          <w:tcPr>
            <w:tcW w:w="675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06763" w:rsidRPr="00EA0AD6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A0AD6" w:rsidTr="00BC65D9">
        <w:tc>
          <w:tcPr>
            <w:tcW w:w="675" w:type="dxa"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EA0AD6" w:rsidRDefault="00E86C96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Ladungspapiere</w:t>
            </w:r>
          </w:p>
        </w:tc>
        <w:tc>
          <w:tcPr>
            <w:tcW w:w="3694" w:type="dxa"/>
          </w:tcPr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Import-Abholung (am Terminal):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übernimmt Container mit Siegel</w:t>
            </w:r>
            <w:r w:rsidR="006D44E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:rsidR="0008141E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kontrolliert Unverletztheit Siegel</w:t>
            </w:r>
            <w:r w:rsidR="006D44EE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</w:p>
          <w:p w:rsidR="00222DFB" w:rsidRPr="00EA0AD6" w:rsidRDefault="00222DF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 Siegelnummer wird auf dem Frachtbrief notiert.</w:t>
            </w:r>
          </w:p>
          <w:p w:rsidR="00C06763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kontrolliert, ob der Container korrekt verschlossen ist.</w:t>
            </w:r>
          </w:p>
          <w:p w:rsidR="00C06763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 xml:space="preserve">Import-Ablieferung </w:t>
            </w: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(beim Empfänger)</w:t>
            </w:r>
            <w:r w:rsidR="0008141E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C46B84" w:rsidRDefault="00C46B84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Container darf nur bei im Frachtbrief angegebener Adresse angeliefert werden</w:t>
            </w:r>
          </w:p>
          <w:p w:rsidR="00C46B84" w:rsidRDefault="00C46B84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Empfänger unterschreibt für Anlieferung mit</w:t>
            </w:r>
          </w:p>
          <w:p w:rsidR="00222DFB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unverletztem Siegel</w:t>
            </w:r>
            <w:r w:rsidR="00222DFB">
              <w:rPr>
                <w:rFonts w:asciiTheme="minorHAnsi" w:hAnsiTheme="minorHAnsi"/>
                <w:b/>
                <w:sz w:val="18"/>
                <w:szCs w:val="18"/>
              </w:rPr>
              <w:t xml:space="preserve"> in der Quittungsbox</w:t>
            </w:r>
            <w:r w:rsidR="00483790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483790" w:rsidRPr="00EA0AD6" w:rsidRDefault="00483790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06763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Empfänger stellt evtl. Beschädigungen oder Fehlmengen</w:t>
            </w:r>
            <w:r w:rsidR="0008141E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fest und vermerkt die</w:t>
            </w:r>
            <w:r w:rsidR="00C06763">
              <w:rPr>
                <w:rFonts w:asciiTheme="minorHAnsi" w:hAnsiTheme="minorHAnsi"/>
                <w:b/>
                <w:sz w:val="18"/>
                <w:szCs w:val="18"/>
              </w:rPr>
              <w:t>se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auf dem Frachtbrief</w:t>
            </w:r>
            <w:r w:rsidR="0008141E" w:rsidRPr="00EA0AD6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561CCB" w:rsidRDefault="0008141E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Fahrer ist anwesend bei Entladung, wenn vom Auftraggeber erlaubt. </w:t>
            </w:r>
          </w:p>
          <w:p w:rsidR="00222DFB" w:rsidRPr="00EA0AD6" w:rsidRDefault="00222DFB" w:rsidP="00222DF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:rsidR="00B736F3" w:rsidRPr="00EA0AD6" w:rsidRDefault="00B736F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Export-Abholung (beim Absender)</w:t>
            </w:r>
            <w:r w:rsidR="00036BAF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überprüft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Stückzahl, wenn der Absender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diese zulässt.</w:t>
            </w:r>
          </w:p>
          <w:p w:rsidR="006D44EE" w:rsidRPr="00EA0AD6" w:rsidRDefault="00561CCB" w:rsidP="006D44E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Der Container wird nach Beladung ve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>r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siegelt</w:t>
            </w:r>
            <w:r w:rsidR="00C06763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F31325" w:rsidRDefault="00F31325" w:rsidP="00F3132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Die Siegelnummer wird in dem Frachtbrief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 xml:space="preserve">eingetragen. </w:t>
            </w:r>
          </w:p>
          <w:p w:rsidR="00561CCB" w:rsidRPr="00EA0AD6" w:rsidRDefault="006D44EE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Sollten keine Siegel vorhanden sein, so sind die High-Security-Seals aus dem LKW zu verwenden. 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Die Containernummer ist ebenfalls auf dem Frachtbrief vermerkt.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Export Ablieferung (am Terminal)</w:t>
            </w:r>
            <w:r w:rsidR="00036BAF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Container </w:t>
            </w:r>
            <w:r w:rsidR="00B736F3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wird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mit Siegel übergeben.</w:t>
            </w:r>
          </w:p>
          <w:p w:rsidR="00E434E8" w:rsidRPr="00EA0AD6" w:rsidRDefault="00B736F3" w:rsidP="00740EA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V</w:t>
            </w:r>
            <w:r w:rsidR="00561CCB" w:rsidRPr="00EA0AD6">
              <w:rPr>
                <w:rFonts w:asciiTheme="minorHAnsi" w:hAnsiTheme="minorHAnsi"/>
                <w:b/>
                <w:sz w:val="18"/>
                <w:szCs w:val="18"/>
              </w:rPr>
              <w:t>om Terminal wird ein Interchange ausgestellt, auf dem der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561CCB" w:rsidRPr="00EA0AD6">
              <w:rPr>
                <w:rFonts w:asciiTheme="minorHAnsi" w:hAnsiTheme="minorHAnsi"/>
                <w:b/>
                <w:sz w:val="18"/>
                <w:szCs w:val="18"/>
              </w:rPr>
              <w:t>Fahrer die Übergabe des Containers quittiert.</w:t>
            </w:r>
          </w:p>
        </w:tc>
        <w:tc>
          <w:tcPr>
            <w:tcW w:w="1843" w:type="dxa"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276" w:type="dxa"/>
            <w:vMerge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F5A97" w:rsidRPr="00EA0AD6" w:rsidTr="00BC65D9">
        <w:tc>
          <w:tcPr>
            <w:tcW w:w="675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F5A97" w:rsidRPr="00EA0AD6" w:rsidRDefault="00BF5A97" w:rsidP="007E0B8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korrigiert ggf. Fehler und informiert Disposition bei Vorliegen nicht erfolgreicher Prüfungen, Disposition entscheidet Vorge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hen und informiert 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>B und Kunden</w:t>
            </w:r>
          </w:p>
        </w:tc>
        <w:tc>
          <w:tcPr>
            <w:tcW w:w="1843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6C96" w:rsidRPr="00EA0AD6" w:rsidTr="00BC65D9">
        <w:tc>
          <w:tcPr>
            <w:tcW w:w="675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Ladungspapiere</w:t>
            </w:r>
          </w:p>
        </w:tc>
        <w:tc>
          <w:tcPr>
            <w:tcW w:w="3694" w:type="dxa"/>
          </w:tcPr>
          <w:p w:rsidR="00E86C96" w:rsidRPr="00EA0AD6" w:rsidRDefault="00E86C96" w:rsidP="00960D4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960D4F">
              <w:rPr>
                <w:rFonts w:asciiTheme="minorHAnsi" w:hAnsiTheme="minorHAnsi"/>
                <w:b/>
                <w:sz w:val="18"/>
                <w:szCs w:val="18"/>
              </w:rPr>
              <w:t>schließt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4457F5">
              <w:rPr>
                <w:rFonts w:asciiTheme="minorHAnsi" w:hAnsiTheme="minorHAnsi"/>
                <w:b/>
                <w:sz w:val="18"/>
                <w:szCs w:val="18"/>
              </w:rPr>
              <w:t>Ladungspapiere</w:t>
            </w:r>
            <w:r w:rsidR="00960D4F">
              <w:rPr>
                <w:rFonts w:asciiTheme="minorHAnsi" w:hAnsiTheme="minorHAnsi"/>
                <w:b/>
                <w:sz w:val="18"/>
                <w:szCs w:val="18"/>
              </w:rPr>
              <w:t xml:space="preserve"> ab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 xml:space="preserve"> und übergibt diese der Dokumentation</w:t>
            </w:r>
          </w:p>
        </w:tc>
        <w:tc>
          <w:tcPr>
            <w:tcW w:w="1843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EA0AD6" w:rsidRDefault="00686727" w:rsidP="00953D1A">
      <w:r w:rsidRPr="00EA0AD6">
        <w:tab/>
      </w: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EA0AD6" w:rsidRDefault="009B3FC9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Nicht zutreffend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Mitgeltende Dokumente: </w:t>
      </w:r>
    </w:p>
    <w:p w:rsidR="00751032" w:rsidRDefault="00751032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Fahrerhandbuch</w:t>
      </w:r>
    </w:p>
    <w:p w:rsidR="004457F5" w:rsidRDefault="004457F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Fahrauftrag</w:t>
      </w:r>
    </w:p>
    <w:p w:rsidR="004457F5" w:rsidRPr="00EA0AD6" w:rsidRDefault="004457F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Ladungspapiere</w:t>
      </w:r>
    </w:p>
    <w:p w:rsidR="00953D1A" w:rsidRPr="0022179F" w:rsidRDefault="00347B2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Checkliste GDP Fahrtantritt</w:t>
      </w:r>
    </w:p>
    <w:p w:rsidR="00B93C0E" w:rsidRDefault="00B93C0E"/>
    <w:sectPr w:rsidR="00B93C0E" w:rsidSect="00DB5E73">
      <w:headerReference w:type="default" r:id="rId8"/>
      <w:footerReference w:type="default" r:id="rId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C8" w:rsidRDefault="00BC59C8" w:rsidP="00953D1A">
      <w:pPr>
        <w:spacing w:line="240" w:lineRule="auto"/>
      </w:pPr>
      <w:r>
        <w:separator/>
      </w:r>
    </w:p>
  </w:endnote>
  <w:endnote w:type="continuationSeparator" w:id="0">
    <w:p w:rsidR="00BC59C8" w:rsidRDefault="00BC59C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746BE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802B27">
      <w:rPr>
        <w:rFonts w:asciiTheme="minorHAnsi" w:hAnsiTheme="minorHAnsi"/>
        <w:b/>
        <w:noProof/>
        <w:color w:val="17365D"/>
        <w:sz w:val="20"/>
      </w:rPr>
      <w:t>F:\Vordrucke - Listen\GDP\VA\VA015 R01 Ladungskontrolle.docx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E06105" w:rsidRPr="00E06105">
      <w:rPr>
        <w:rFonts w:asciiTheme="minorHAnsi" w:hAnsiTheme="minorHAnsi"/>
        <w:b/>
        <w:color w:val="17365D"/>
        <w:sz w:val="20"/>
      </w:rPr>
      <w:t xml:space="preserve">Seite </w: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begin"/>
    </w:r>
    <w:r w:rsidR="00E06105" w:rsidRPr="00E06105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1</w: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end"/>
    </w:r>
    <w:r w:rsidR="00E06105" w:rsidRPr="00E06105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06105" w:rsidRDefault="00E06105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06105" w:rsidRDefault="00E06105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06105" w:rsidRPr="00E06105" w:rsidRDefault="00746BE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>Alexandra Klatte</w:t>
    </w:r>
    <w:r w:rsidR="00E06105">
      <w:rPr>
        <w:rFonts w:asciiTheme="minorHAnsi" w:hAnsiTheme="minorHAnsi"/>
        <w:color w:val="17365D"/>
        <w:sz w:val="20"/>
      </w:rPr>
      <w:tab/>
    </w:r>
    <w:r w:rsidR="00E06105">
      <w:rPr>
        <w:rFonts w:asciiTheme="minorHAnsi" w:hAnsiTheme="minorHAnsi"/>
        <w:color w:val="17365D"/>
        <w:sz w:val="20"/>
      </w:rPr>
      <w:tab/>
    </w:r>
    <w:r w:rsidR="00C84CC3">
      <w:rPr>
        <w:rFonts w:asciiTheme="minorHAnsi" w:hAnsiTheme="minorHAnsi"/>
        <w:color w:val="17365D"/>
        <w:sz w:val="20"/>
      </w:rPr>
      <w:t>Stefan Hattendorf</w:t>
    </w:r>
    <w:r w:rsidR="00E06105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C8" w:rsidRDefault="00BC59C8" w:rsidP="00953D1A">
      <w:pPr>
        <w:spacing w:line="240" w:lineRule="auto"/>
      </w:pPr>
      <w:r>
        <w:separator/>
      </w:r>
    </w:p>
  </w:footnote>
  <w:footnote w:type="continuationSeparator" w:id="0">
    <w:p w:rsidR="00BC59C8" w:rsidRDefault="00BC59C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746BEF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59A208C" wp14:editId="4953A24E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06105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746BEF" w:rsidP="00E06105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3B68D8" w:rsidP="00E86C96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VA015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E86C96">
            <w:rPr>
              <w:rFonts w:ascii="Calibri" w:hAnsi="Calibri" w:cs="Arial"/>
              <w:color w:val="17365D"/>
              <w:sz w:val="32"/>
              <w:szCs w:val="32"/>
            </w:rPr>
            <w:t>Ladungskontrolle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746BEF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DD5"/>
    <w:multiLevelType w:val="hybridMultilevel"/>
    <w:tmpl w:val="15082D5E"/>
    <w:lvl w:ilvl="0" w:tplc="757EC6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36BAF"/>
    <w:rsid w:val="00041518"/>
    <w:rsid w:val="00043EB8"/>
    <w:rsid w:val="0006530C"/>
    <w:rsid w:val="0008141E"/>
    <w:rsid w:val="00096C02"/>
    <w:rsid w:val="000A11D4"/>
    <w:rsid w:val="000D7302"/>
    <w:rsid w:val="000F4E3A"/>
    <w:rsid w:val="00124DD8"/>
    <w:rsid w:val="00146414"/>
    <w:rsid w:val="00181AF9"/>
    <w:rsid w:val="001D0EBA"/>
    <w:rsid w:val="001E5B59"/>
    <w:rsid w:val="00222DFB"/>
    <w:rsid w:val="00241CA2"/>
    <w:rsid w:val="00244E79"/>
    <w:rsid w:val="002E5295"/>
    <w:rsid w:val="00332609"/>
    <w:rsid w:val="00347B2D"/>
    <w:rsid w:val="0037445F"/>
    <w:rsid w:val="003B338E"/>
    <w:rsid w:val="003B68D8"/>
    <w:rsid w:val="004457F5"/>
    <w:rsid w:val="00483790"/>
    <w:rsid w:val="004B2FD5"/>
    <w:rsid w:val="00503DD5"/>
    <w:rsid w:val="00540C54"/>
    <w:rsid w:val="0056069F"/>
    <w:rsid w:val="00561CCB"/>
    <w:rsid w:val="005803FB"/>
    <w:rsid w:val="00615480"/>
    <w:rsid w:val="0064263E"/>
    <w:rsid w:val="00652465"/>
    <w:rsid w:val="006656C6"/>
    <w:rsid w:val="00686727"/>
    <w:rsid w:val="006A004B"/>
    <w:rsid w:val="006D44EE"/>
    <w:rsid w:val="00740EAB"/>
    <w:rsid w:val="00741E93"/>
    <w:rsid w:val="00746BEF"/>
    <w:rsid w:val="00751032"/>
    <w:rsid w:val="007E0B8D"/>
    <w:rsid w:val="00802B27"/>
    <w:rsid w:val="008035FE"/>
    <w:rsid w:val="0082242F"/>
    <w:rsid w:val="00863449"/>
    <w:rsid w:val="0087394F"/>
    <w:rsid w:val="00884C17"/>
    <w:rsid w:val="008F26BF"/>
    <w:rsid w:val="0090171E"/>
    <w:rsid w:val="00953D1A"/>
    <w:rsid w:val="00960D4F"/>
    <w:rsid w:val="0097686E"/>
    <w:rsid w:val="009B31C2"/>
    <w:rsid w:val="009B3FC9"/>
    <w:rsid w:val="009C7A01"/>
    <w:rsid w:val="00A079A6"/>
    <w:rsid w:val="00AD7871"/>
    <w:rsid w:val="00B2664E"/>
    <w:rsid w:val="00B736F3"/>
    <w:rsid w:val="00B91C24"/>
    <w:rsid w:val="00B92AD7"/>
    <w:rsid w:val="00B93C0E"/>
    <w:rsid w:val="00BC343E"/>
    <w:rsid w:val="00BC59C8"/>
    <w:rsid w:val="00BE112D"/>
    <w:rsid w:val="00BF53CC"/>
    <w:rsid w:val="00BF5A97"/>
    <w:rsid w:val="00C06763"/>
    <w:rsid w:val="00C102EA"/>
    <w:rsid w:val="00C11A08"/>
    <w:rsid w:val="00C464A6"/>
    <w:rsid w:val="00C46B84"/>
    <w:rsid w:val="00C84CC3"/>
    <w:rsid w:val="00C9571E"/>
    <w:rsid w:val="00D06A1C"/>
    <w:rsid w:val="00D512DC"/>
    <w:rsid w:val="00D53902"/>
    <w:rsid w:val="00DB35C8"/>
    <w:rsid w:val="00DD36C2"/>
    <w:rsid w:val="00DE1CE7"/>
    <w:rsid w:val="00E06105"/>
    <w:rsid w:val="00E17A13"/>
    <w:rsid w:val="00E33DFF"/>
    <w:rsid w:val="00E403B5"/>
    <w:rsid w:val="00E434E8"/>
    <w:rsid w:val="00E86C96"/>
    <w:rsid w:val="00EA0AD6"/>
    <w:rsid w:val="00F160F9"/>
    <w:rsid w:val="00F31325"/>
    <w:rsid w:val="00F3686D"/>
    <w:rsid w:val="00F90D83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5:docId w15:val="{179D098C-BDBD-41AE-AA6A-9989A12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E027C-BEA0-4D53-BE91-3277C538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21</cp:revision>
  <cp:lastPrinted>2016-03-03T07:56:00Z</cp:lastPrinted>
  <dcterms:created xsi:type="dcterms:W3CDTF">2015-11-24T12:52:00Z</dcterms:created>
  <dcterms:modified xsi:type="dcterms:W3CDTF">2023-03-22T12:54:00Z</dcterms:modified>
</cp:coreProperties>
</file>