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</w:t>
      </w:r>
      <w:r w:rsidR="006A07F1">
        <w:rPr>
          <w:rFonts w:asciiTheme="minorHAnsi" w:hAnsiTheme="minorHAnsi"/>
        </w:rPr>
        <w:t xml:space="preserve">für den IT-Bereich </w:t>
      </w:r>
      <w:r w:rsidRPr="00E9789E">
        <w:rPr>
          <w:rFonts w:asciiTheme="minorHAnsi" w:hAnsiTheme="minorHAnsi"/>
        </w:rPr>
        <w:t xml:space="preserve">des </w:t>
      </w:r>
      <w:r w:rsidR="004B2FD5">
        <w:rPr>
          <w:rFonts w:asciiTheme="minorHAnsi" w:hAnsiTheme="minorHAnsi"/>
        </w:rPr>
        <w:t>Unternehmens</w:t>
      </w:r>
      <w:r w:rsidR="006A07F1">
        <w:rPr>
          <w:rFonts w:asciiTheme="minorHAnsi" w:hAnsiTheme="minorHAnsi"/>
        </w:rPr>
        <w:t xml:space="preserve">.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EF512E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IT-Beauftragter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EF512E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beschreibt die Sicherung der im Betrieb erzeugten Daten.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2022B" w:rsidRDefault="0092022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271893" w:rsidRPr="007C6E97" w:rsidRDefault="00271893" w:rsidP="0092022B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Es </w:t>
            </w:r>
            <w:r w:rsidR="006A07F1">
              <w:rPr>
                <w:rFonts w:asciiTheme="minorHAnsi" w:hAnsiTheme="minorHAnsi"/>
                <w:sz w:val="20"/>
              </w:rPr>
              <w:t xml:space="preserve">werden </w:t>
            </w:r>
            <w:r w:rsidRPr="007C6E97">
              <w:rPr>
                <w:rFonts w:asciiTheme="minorHAnsi" w:hAnsiTheme="minorHAnsi"/>
                <w:sz w:val="20"/>
              </w:rPr>
              <w:t xml:space="preserve">die </w:t>
            </w:r>
            <w:r w:rsidR="00710BE2" w:rsidRPr="007C6E97">
              <w:rPr>
                <w:rFonts w:asciiTheme="minorHAnsi" w:hAnsiTheme="minorHAnsi"/>
                <w:sz w:val="20"/>
              </w:rPr>
              <w:t xml:space="preserve">vollständigen </w:t>
            </w:r>
            <w:r w:rsidRPr="007C6E97">
              <w:rPr>
                <w:rFonts w:asciiTheme="minorHAnsi" w:hAnsiTheme="minorHAnsi"/>
                <w:sz w:val="20"/>
              </w:rPr>
              <w:t>Inhalte folgender Server</w:t>
            </w:r>
            <w:r w:rsidR="00710BE2" w:rsidRPr="007C6E97">
              <w:rPr>
                <w:rFonts w:asciiTheme="minorHAnsi" w:hAnsiTheme="minorHAnsi"/>
                <w:sz w:val="20"/>
              </w:rPr>
              <w:t xml:space="preserve"> g</w:t>
            </w:r>
            <w:r w:rsidRPr="007C6E97">
              <w:rPr>
                <w:rFonts w:asciiTheme="minorHAnsi" w:hAnsiTheme="minorHAnsi"/>
                <w:sz w:val="20"/>
              </w:rPr>
              <w:t>esichert:</w:t>
            </w:r>
          </w:p>
          <w:p w:rsidR="00271893" w:rsidRPr="007C6E97" w:rsidRDefault="00271893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Datev-Server</w:t>
            </w:r>
          </w:p>
          <w:p w:rsidR="00271893" w:rsidRPr="007C6E97" w:rsidRDefault="00710BE2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Fileserver (F:)</w:t>
            </w:r>
          </w:p>
          <w:p w:rsidR="00710BE2" w:rsidRPr="007C6E97" w:rsidRDefault="00710BE2" w:rsidP="00271893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Mailserver (M:)</w:t>
            </w:r>
          </w:p>
          <w:p w:rsidR="00710BE2" w:rsidRPr="007C6E97" w:rsidRDefault="00710BE2" w:rsidP="006A07F1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Cargo-Support-Server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2F51F4" w:rsidRPr="00ED21C0" w:rsidRDefault="002F51F4" w:rsidP="00ED21C0">
            <w:pPr>
              <w:pStyle w:val="Listenabsatz"/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4007" w:type="dxa"/>
          </w:tcPr>
          <w:p w:rsidR="00ED21C0" w:rsidRPr="007C6E97" w:rsidRDefault="00ED21C0" w:rsidP="00ED21C0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Die Sicherung der Daten startet für 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 xml:space="preserve"> Mailserver täglich um 00:00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Cargo-Support täglich um 04:00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Datev-Server täglich um 19:00</w:t>
            </w:r>
          </w:p>
          <w:p w:rsidR="00ED21C0" w:rsidRPr="007C6E97" w:rsidRDefault="00ED21C0" w:rsidP="00ED21C0">
            <w:pPr>
              <w:pStyle w:val="Listenabsatz"/>
              <w:numPr>
                <w:ilvl w:val="0"/>
                <w:numId w:val="6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Fileserver täglich um 22:00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251D3" w:rsidRPr="007C6E97" w:rsidRDefault="005E72CB" w:rsidP="00E15E6F">
            <w:pPr>
              <w:spacing w:before="120"/>
              <w:rPr>
                <w:rFonts w:asciiTheme="minorHAnsi" w:hAnsiTheme="minorHAnsi"/>
                <w:sz w:val="20"/>
              </w:rPr>
            </w:pPr>
            <w:r w:rsidRPr="007C6E97">
              <w:rPr>
                <w:rFonts w:asciiTheme="minorHAnsi" w:hAnsiTheme="minorHAnsi"/>
                <w:sz w:val="20"/>
              </w:rPr>
              <w:t>Die Daten werden auf ei</w:t>
            </w:r>
            <w:r w:rsidR="00E15E6F">
              <w:rPr>
                <w:rFonts w:asciiTheme="minorHAnsi" w:hAnsiTheme="minorHAnsi"/>
                <w:sz w:val="20"/>
              </w:rPr>
              <w:t>ne externe Festplatte gesichert, die sich</w:t>
            </w:r>
            <w:r w:rsidRPr="007C6E97">
              <w:rPr>
                <w:rFonts w:asciiTheme="minorHAnsi" w:hAnsiTheme="minorHAnsi"/>
                <w:sz w:val="20"/>
              </w:rPr>
              <w:t xml:space="preserve"> </w:t>
            </w:r>
            <w:r w:rsidR="00E15E6F">
              <w:rPr>
                <w:rFonts w:asciiTheme="minorHAnsi" w:hAnsiTheme="minorHAnsi"/>
                <w:sz w:val="20"/>
              </w:rPr>
              <w:t>i</w:t>
            </w:r>
            <w:r w:rsidRPr="007C6E97">
              <w:rPr>
                <w:rFonts w:asciiTheme="minorHAnsi" w:hAnsiTheme="minorHAnsi"/>
                <w:sz w:val="20"/>
              </w:rPr>
              <w:t xml:space="preserve">m Archiv des Wohnhauses Siedenbögen 17a in Visbek </w:t>
            </w:r>
            <w:r w:rsidR="00E15E6F">
              <w:rPr>
                <w:rFonts w:asciiTheme="minorHAnsi" w:hAnsiTheme="minorHAnsi"/>
                <w:sz w:val="20"/>
              </w:rPr>
              <w:t xml:space="preserve">befindet </w:t>
            </w:r>
            <w:r w:rsidRPr="007C6E97">
              <w:rPr>
                <w:rFonts w:asciiTheme="minorHAnsi" w:hAnsiTheme="minorHAnsi"/>
                <w:sz w:val="20"/>
              </w:rPr>
              <w:t xml:space="preserve">und durch eine Standleitung mit den </w:t>
            </w:r>
            <w:r w:rsidR="00E15E6F">
              <w:rPr>
                <w:rFonts w:asciiTheme="minorHAnsi" w:hAnsiTheme="minorHAnsi"/>
                <w:sz w:val="20"/>
              </w:rPr>
              <w:t>zu sichernden Servern verbunden ist.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07F1" w:rsidRDefault="006A07F1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Es erfolgt eine zusätzliche Sicherung auf externen Festplatten, die vom IT-Beauftragten unabhängig vom Firmenstandort aufbewahrt werden.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471DF" w:rsidRPr="00E15E6F" w:rsidRDefault="00B471DF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Datensicherungen werden nach dem Drei-Generationen-Prinzip durchgeführt</w:t>
            </w:r>
          </w:p>
        </w:tc>
        <w:tc>
          <w:tcPr>
            <w:tcW w:w="1530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ED21C0">
        <w:tc>
          <w:tcPr>
            <w:tcW w:w="675" w:type="dxa"/>
          </w:tcPr>
          <w:p w:rsidR="009B64F3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9B64F3" w:rsidRPr="00E15E6F" w:rsidRDefault="00E15E6F" w:rsidP="00E20EF1">
            <w:pPr>
              <w:spacing w:before="120"/>
              <w:rPr>
                <w:rFonts w:asciiTheme="minorHAnsi" w:hAnsiTheme="minorHAnsi"/>
              </w:rPr>
            </w:pPr>
            <w:r w:rsidRPr="00E15E6F">
              <w:rPr>
                <w:rFonts w:asciiTheme="minorHAnsi" w:hAnsiTheme="minorHAnsi"/>
                <w:sz w:val="20"/>
              </w:rPr>
              <w:t xml:space="preserve">Ein Test der Rücksicherung wird </w:t>
            </w:r>
            <w:r w:rsidR="00E20EF1">
              <w:rPr>
                <w:rFonts w:asciiTheme="minorHAnsi" w:hAnsiTheme="minorHAnsi"/>
                <w:sz w:val="20"/>
              </w:rPr>
              <w:t>vierteljährlich</w:t>
            </w:r>
            <w:r w:rsidRPr="00E15E6F">
              <w:rPr>
                <w:rFonts w:asciiTheme="minorHAnsi" w:hAnsiTheme="minorHAnsi"/>
                <w:sz w:val="20"/>
              </w:rPr>
              <w:t xml:space="preserve"> durchgeführt.</w:t>
            </w:r>
          </w:p>
        </w:tc>
        <w:tc>
          <w:tcPr>
            <w:tcW w:w="1530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ED21C0">
        <w:tc>
          <w:tcPr>
            <w:tcW w:w="675" w:type="dxa"/>
          </w:tcPr>
          <w:p w:rsidR="00BB2EBF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409" w:type="dxa"/>
          </w:tcPr>
          <w:p w:rsidR="00BB2EBF" w:rsidRDefault="005245B9" w:rsidP="00892427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1169BF" w:rsidRPr="001169BF">
                <w:rPr>
                  <w:rStyle w:val="Hyperlink"/>
                  <w:rFonts w:asciiTheme="minorHAnsi" w:hAnsiTheme="minorHAnsi"/>
                  <w:sz w:val="12"/>
                  <w:szCs w:val="12"/>
                </w:rPr>
                <w:t>Nachweis Datensicherung</w:t>
              </w:r>
            </w:hyperlink>
          </w:p>
          <w:p w:rsidR="001169BF" w:rsidRDefault="001169BF" w:rsidP="00892427">
            <w:pPr>
              <w:rPr>
                <w:rFonts w:asciiTheme="minorHAnsi" w:hAnsiTheme="minorHAnsi"/>
                <w:sz w:val="12"/>
                <w:szCs w:val="12"/>
              </w:rPr>
            </w:pPr>
          </w:p>
          <w:p w:rsidR="001169BF" w:rsidRPr="001169BF" w:rsidRDefault="005245B9" w:rsidP="001169BF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1169BF" w:rsidRPr="00EB55D7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 Timer</w:t>
              </w:r>
            </w:hyperlink>
          </w:p>
        </w:tc>
        <w:tc>
          <w:tcPr>
            <w:tcW w:w="4007" w:type="dxa"/>
          </w:tcPr>
          <w:p w:rsidR="003103BF" w:rsidRDefault="006E1CC5" w:rsidP="001169BF">
            <w:pPr>
              <w:spacing w:before="120"/>
              <w:rPr>
                <w:rFonts w:asciiTheme="minorHAnsi" w:hAnsiTheme="minorHAnsi"/>
                <w:sz w:val="20"/>
              </w:rPr>
            </w:pPr>
            <w:r w:rsidRPr="006E1CC5">
              <w:rPr>
                <w:rFonts w:asciiTheme="minorHAnsi" w:hAnsiTheme="minorHAnsi"/>
                <w:sz w:val="20"/>
              </w:rPr>
              <w:t>Die Dur</w:t>
            </w:r>
            <w:r w:rsidR="00290490">
              <w:rPr>
                <w:rFonts w:asciiTheme="minorHAnsi" w:hAnsiTheme="minorHAnsi"/>
                <w:sz w:val="20"/>
              </w:rPr>
              <w:t>chführung der Rücksicherung</w:t>
            </w:r>
            <w:r w:rsidRPr="006E1CC5">
              <w:rPr>
                <w:rFonts w:asciiTheme="minorHAnsi" w:hAnsiTheme="minorHAnsi"/>
                <w:sz w:val="20"/>
              </w:rPr>
              <w:t xml:space="preserve"> w</w:t>
            </w:r>
            <w:r w:rsidR="00290490">
              <w:rPr>
                <w:rFonts w:asciiTheme="minorHAnsi" w:hAnsiTheme="minorHAnsi"/>
                <w:sz w:val="20"/>
              </w:rPr>
              <w:t>i</w:t>
            </w:r>
            <w:r w:rsidR="001169BF">
              <w:rPr>
                <w:rFonts w:asciiTheme="minorHAnsi" w:hAnsiTheme="minorHAnsi"/>
                <w:sz w:val="20"/>
              </w:rPr>
              <w:t xml:space="preserve">rd mit dem „Nachweis Datensicherung“ </w:t>
            </w:r>
            <w:r w:rsidRPr="006E1CC5">
              <w:rPr>
                <w:rFonts w:asciiTheme="minorHAnsi" w:hAnsiTheme="minorHAnsi"/>
                <w:sz w:val="20"/>
              </w:rPr>
              <w:t>dokumen</w:t>
            </w:r>
            <w:r w:rsidR="001169BF">
              <w:rPr>
                <w:rFonts w:asciiTheme="minorHAnsi" w:hAnsiTheme="minorHAnsi"/>
                <w:sz w:val="20"/>
              </w:rPr>
              <w:t>-</w:t>
            </w:r>
            <w:r w:rsidRPr="006E1CC5">
              <w:rPr>
                <w:rFonts w:asciiTheme="minorHAnsi" w:hAnsiTheme="minorHAnsi"/>
                <w:sz w:val="20"/>
              </w:rPr>
              <w:t>tiert</w:t>
            </w:r>
          </w:p>
          <w:p w:rsidR="001169BF" w:rsidRPr="001169BF" w:rsidRDefault="001169BF" w:rsidP="001169BF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Nachweis wird im Tapa Handbuch unter Checklisten Formulare abgelegt.</w:t>
            </w:r>
          </w:p>
        </w:tc>
        <w:tc>
          <w:tcPr>
            <w:tcW w:w="1530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ED21C0">
        <w:tc>
          <w:tcPr>
            <w:tcW w:w="675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ED65C2" w:rsidRPr="00473970" w:rsidRDefault="00ED65C2" w:rsidP="00473970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95307" w:rsidRPr="00E9789E" w:rsidRDefault="0039530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8066A7" w:rsidRDefault="008066A7" w:rsidP="008066A7">
      <w:pPr>
        <w:pStyle w:val="Listenabsatz"/>
        <w:numPr>
          <w:ilvl w:val="0"/>
          <w:numId w:val="6"/>
        </w:numPr>
      </w:pPr>
      <w:r>
        <w:t>Datensicherungstimer</w:t>
      </w:r>
    </w:p>
    <w:p w:rsidR="00D67D85" w:rsidRPr="00D67D85" w:rsidRDefault="00D67D85" w:rsidP="00D67D85"/>
    <w:sectPr w:rsidR="00D67D85" w:rsidRPr="00D67D85" w:rsidSect="00DB5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5245B9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Dicolo\VA\VA019 R001 Datensicherung.docx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bookmarkStart w:id="0" w:name="_GoBack"/>
    <w:bookmarkEnd w:id="0"/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2</w:t>
    </w:r>
    <w:r w:rsidR="00882064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8E2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5245B9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D51F8">
      <w:rPr>
        <w:rFonts w:asciiTheme="minorHAnsi" w:hAnsiTheme="minorHAnsi"/>
        <w:bCs/>
        <w:color w:val="17365D"/>
        <w:sz w:val="20"/>
      </w:rPr>
      <w:t>Ludger Kuhlmann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5245B9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B9AC6DE" wp14:editId="2E19284F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5245B9" w:rsidP="00A57222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EF512E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EF512E">
            <w:rPr>
              <w:rFonts w:ascii="Calibri" w:hAnsi="Calibri" w:cs="Arial"/>
              <w:color w:val="17365D"/>
              <w:sz w:val="32"/>
              <w:szCs w:val="32"/>
            </w:rPr>
            <w:t>9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EF512E">
            <w:rPr>
              <w:rFonts w:ascii="Calibri" w:hAnsi="Calibri" w:cs="Arial"/>
              <w:color w:val="17365D"/>
              <w:sz w:val="32"/>
              <w:szCs w:val="32"/>
            </w:rPr>
            <w:t>Datensicherung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5245B9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B9" w:rsidRDefault="005245B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A56DB"/>
    <w:rsid w:val="000B53D3"/>
    <w:rsid w:val="000C0380"/>
    <w:rsid w:val="000C31C7"/>
    <w:rsid w:val="000C4E95"/>
    <w:rsid w:val="000C611D"/>
    <w:rsid w:val="000F4E3A"/>
    <w:rsid w:val="00111A65"/>
    <w:rsid w:val="001169BF"/>
    <w:rsid w:val="00181AF9"/>
    <w:rsid w:val="001848DA"/>
    <w:rsid w:val="00192CE8"/>
    <w:rsid w:val="001B3F1B"/>
    <w:rsid w:val="001E5B59"/>
    <w:rsid w:val="001E64F8"/>
    <w:rsid w:val="00214964"/>
    <w:rsid w:val="00221D66"/>
    <w:rsid w:val="00244E79"/>
    <w:rsid w:val="00264FCA"/>
    <w:rsid w:val="00271893"/>
    <w:rsid w:val="00290490"/>
    <w:rsid w:val="002A51D0"/>
    <w:rsid w:val="002E5295"/>
    <w:rsid w:val="002F51F4"/>
    <w:rsid w:val="0030123E"/>
    <w:rsid w:val="003103BF"/>
    <w:rsid w:val="00321AE3"/>
    <w:rsid w:val="003273F9"/>
    <w:rsid w:val="00332609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245B9"/>
    <w:rsid w:val="00551048"/>
    <w:rsid w:val="005803FB"/>
    <w:rsid w:val="005A793C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30A4D"/>
    <w:rsid w:val="007660C1"/>
    <w:rsid w:val="007800FE"/>
    <w:rsid w:val="007A0973"/>
    <w:rsid w:val="007C114C"/>
    <w:rsid w:val="007C6E97"/>
    <w:rsid w:val="007F7191"/>
    <w:rsid w:val="008066A7"/>
    <w:rsid w:val="00813A2E"/>
    <w:rsid w:val="0082242F"/>
    <w:rsid w:val="0087394F"/>
    <w:rsid w:val="00882064"/>
    <w:rsid w:val="00884C17"/>
    <w:rsid w:val="00892427"/>
    <w:rsid w:val="008E2FFA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57222"/>
    <w:rsid w:val="00AA4372"/>
    <w:rsid w:val="00AB2B3C"/>
    <w:rsid w:val="00AD7A59"/>
    <w:rsid w:val="00B215C8"/>
    <w:rsid w:val="00B26CED"/>
    <w:rsid w:val="00B405D1"/>
    <w:rsid w:val="00B471DF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B35C8"/>
    <w:rsid w:val="00DC3812"/>
    <w:rsid w:val="00DD36C2"/>
    <w:rsid w:val="00E147B4"/>
    <w:rsid w:val="00E15E6F"/>
    <w:rsid w:val="00E17A13"/>
    <w:rsid w:val="00E20EF1"/>
    <w:rsid w:val="00E403B5"/>
    <w:rsid w:val="00EB55D7"/>
    <w:rsid w:val="00ED10B2"/>
    <w:rsid w:val="00ED21C0"/>
    <w:rsid w:val="00ED65C2"/>
    <w:rsid w:val="00EF512E"/>
    <w:rsid w:val="00F0464E"/>
    <w:rsid w:val="00F3686D"/>
    <w:rsid w:val="00F507F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09C78AAB-8539-42E2-AAB8-CDFEA73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Tapa/Formulare/Nachweis%20Datensicherung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Tapa/Formulare/FO%20Contrail%20Timer.xls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AB71-F712-4202-8BCC-F29EDB33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64</cp:revision>
  <cp:lastPrinted>2016-03-03T08:00:00Z</cp:lastPrinted>
  <dcterms:created xsi:type="dcterms:W3CDTF">2015-12-08T10:56:00Z</dcterms:created>
  <dcterms:modified xsi:type="dcterms:W3CDTF">2023-03-22T13:08:00Z</dcterms:modified>
</cp:coreProperties>
</file>