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0BB6" w14:textId="77777777" w:rsidR="00DF21D7" w:rsidRDefault="00000000">
      <w:pPr>
        <w:spacing w:after="240"/>
        <w:jc w:val="center"/>
      </w:pPr>
      <w:r>
        <w:rPr>
          <w:b/>
          <w:bCs/>
          <w:sz w:val="32"/>
          <w:szCs w:val="32"/>
        </w:rPr>
        <w:t>FCA Supercharged Sandbox — Cohort 2</w:t>
      </w:r>
    </w:p>
    <w:p w14:paraId="5F8E12F7" w14:textId="77777777" w:rsidR="00DF21D7" w:rsidRDefault="00000000">
      <w:pPr>
        <w:spacing w:after="360"/>
        <w:jc w:val="center"/>
      </w:pPr>
      <w:r>
        <w:rPr>
          <w:i/>
          <w:iCs/>
          <w:sz w:val="24"/>
          <w:szCs w:val="24"/>
        </w:rPr>
        <w:t>Application — Fynla</w:t>
      </w:r>
    </w:p>
    <w:p w14:paraId="687A835E" w14:textId="77777777" w:rsidR="00DF21D7" w:rsidRDefault="00000000">
      <w:pPr>
        <w:pStyle w:val="Heading1"/>
      </w:pPr>
      <w:r>
        <w:t>3.1 Solution name</w:t>
      </w:r>
    </w:p>
    <w:p w14:paraId="3F0E8DBB" w14:textId="77777777" w:rsidR="00DF21D7" w:rsidRDefault="00000000">
      <w:pPr>
        <w:spacing w:after="120"/>
      </w:pPr>
      <w:r>
        <w:t>Fynla.</w:t>
      </w:r>
    </w:p>
    <w:p w14:paraId="2C601DF2" w14:textId="77777777" w:rsidR="00DF21D7" w:rsidRDefault="00000000">
      <w:pPr>
        <w:pStyle w:val="Heading1"/>
      </w:pPr>
      <w:r>
        <w:t>3.2 Describe your solution (max 50 words)</w:t>
      </w:r>
    </w:p>
    <w:p w14:paraId="7E698CAD" w14:textId="77777777" w:rsidR="00DF21D7" w:rsidRDefault="00000000">
      <w:pPr>
        <w:spacing w:after="120"/>
      </w:pPr>
      <w:r>
        <w:t>Fynla is a UK financial planning app. Eight AI agents — six domain agents (Protection, Savings, Investment, Retirement, Estate, Goals), a coordinator and a tax optimiser — reason over the user’s whole financial picture and deliver joined-up planning to people priced out of advice or who prefer digital.</w:t>
      </w:r>
    </w:p>
    <w:p w14:paraId="3246B8CB" w14:textId="77777777" w:rsidR="00DF21D7" w:rsidRDefault="00000000">
      <w:pPr>
        <w:pStyle w:val="Heading1"/>
      </w:pPr>
      <w:r>
        <w:t>3.3 What specific problem are you solving and why is it important? (max 300 words)</w:t>
      </w:r>
    </w:p>
    <w:p w14:paraId="5E2C059B" w14:textId="77777777" w:rsidR="00DF21D7" w:rsidRDefault="00000000">
      <w:pPr>
        <w:spacing w:after="120"/>
      </w:pPr>
      <w:r>
        <w:t>The UK advice gap.</w:t>
      </w:r>
    </w:p>
    <w:p w14:paraId="59DFFE8C" w14:textId="77777777" w:rsidR="00DF21D7" w:rsidRDefault="00000000">
      <w:pPr>
        <w:spacing w:after="120"/>
      </w:pPr>
      <w:r>
        <w:t>Around 13.1 million UK adults hold between £50,000 and £5 million in savings and investments but receive no financial advice. They face the biggest decisions of their lives — first home, first pension, life cover, estate planning — without joined-up guidance.</w:t>
      </w:r>
    </w:p>
    <w:p w14:paraId="013528A4" w14:textId="77777777" w:rsidR="00DF21D7" w:rsidRDefault="00000000">
      <w:pPr>
        <w:spacing w:after="120"/>
      </w:pPr>
      <w:r>
        <w:t>The advice gap has two drivers. Cost: a regulated planner costs over £1,000, which most people cannot afford. Preference: Millennials and younger consumers actively prefer digital, self-serve tools over a sit-down adviser meeting, and many will not engage with traditional advice even when they could afford it. As that demographic moves into its peak earning and decision-making years, the gap widens regardless of price.</w:t>
      </w:r>
    </w:p>
    <w:p w14:paraId="6F64BEA4" w14:textId="77777777" w:rsidR="00DF21D7" w:rsidRDefault="00000000">
      <w:pPr>
        <w:spacing w:after="120"/>
      </w:pPr>
      <w:r>
        <w:t>Today’s alternative is a patchwork of single-purpose tools — pension calculators, ISA platforms, mortgage sites, will-writing services — that leaves the consumer to join the dots, and joining the dots is where costly mistakes happen. Should an extra £200 a month go into an ISA, a pension, or mortgage overpayment? Does jointly held property use one Residence Nil Rate Band or both? Is life cover still right once the mortgage is paid off? No single-purpose tool can answer these, and over a lifetime the wrong answers cost households tens or hundreds of thousands of pounds.</w:t>
      </w:r>
    </w:p>
    <w:p w14:paraId="06F29A16" w14:textId="77777777" w:rsidR="00DF21D7" w:rsidRDefault="00000000">
      <w:pPr>
        <w:spacing w:after="120"/>
      </w:pPr>
      <w:r>
        <w:t>Two further reasons this matters now. Consumer Duty: the FCA expects firms to support good outcomes for retail customers, but the tools that would let non-advised consumers reach those outcomes do not yet exist at scale. Vulnerability: those least able to navigate fragmented tools — older adults, the financially anxious, those with low numeracy — are the ones most exposed when planning decisions go wrong.</w:t>
      </w:r>
    </w:p>
    <w:p w14:paraId="240DEA6D" w14:textId="77777777" w:rsidR="00DF21D7" w:rsidRDefault="00000000">
      <w:pPr>
        <w:spacing w:after="120"/>
      </w:pPr>
      <w:r>
        <w:t>Fynla addresses this by bringing the seven planning areas into a single model of the user, so joined-up guidance becomes both affordable and appealing for mass-market UK consumers.</w:t>
      </w:r>
    </w:p>
    <w:p w14:paraId="44E7266C" w14:textId="77777777" w:rsidR="00DF21D7" w:rsidRDefault="00000000">
      <w:pPr>
        <w:pStyle w:val="Heading1"/>
      </w:pPr>
      <w:r>
        <w:t>3.4 What outcomes do you expect your solution to deliver, and for whom? (max 300 words)</w:t>
      </w:r>
    </w:p>
    <w:p w14:paraId="72B9DA5E" w14:textId="77777777" w:rsidR="00DF21D7" w:rsidRDefault="00000000">
      <w:pPr>
        <w:spacing w:after="120"/>
      </w:pPr>
      <w:r>
        <w:t xml:space="preserve">Consumers (the 13.1 million UK adults in the advice gap) gain joined-up planning across their whole financial life, rather than separate tools that do not talk to each other. Specific outcomes include tax wrappers (ISA, Lifetime ISA, pension) used in the right order for the user’s circumstances; full use of Inheritance Tax allowances, including both Residence Nil Rate Bands where they apply; life cover sized to actual need rather than a rule-of-thumb default; and earlier identification of retirement shortfalls while there is still time to act. </w:t>
      </w:r>
      <w:r>
        <w:lastRenderedPageBreak/>
        <w:t>Vulnerable consumers — older adults, the financially anxious, those with low numeracy — gain access to planning help that was previously available only at adviser-grade prices. Millennials and younger consumers, the largest cohort in the gap and the most digital-native, get planning delivered through the channel they actually want to use, removing the engagement barrier that traditional advice cannot overcome.</w:t>
      </w:r>
    </w:p>
    <w:p w14:paraId="5EFB3FE2" w14:textId="77777777" w:rsidR="00DF21D7" w:rsidRDefault="00000000">
      <w:pPr>
        <w:spacing w:after="120"/>
      </w:pPr>
      <w:r>
        <w:t>The FCA and the wider regulatory community gain a working, evaluated example of AI-driven holistic guidance under Consumer Duty, including the model-risk controls, explainability methods, and guidance/advice boundary controls developed during the cohort. Sandbox outputs (test results, evaluation methods, Consumer Duty evidence) should serve as a useful precedent for other applicants and inform FCA thinking on AI in retail finance.</w:t>
      </w:r>
    </w:p>
    <w:p w14:paraId="67CEA521" w14:textId="77777777" w:rsidR="00DF21D7" w:rsidRDefault="00000000">
      <w:pPr>
        <w:spacing w:after="120"/>
      </w:pPr>
      <w:r>
        <w:t>Regulated firms — advisers, lenders, insurers, pension providers — gain a pipeline of well-prepared consumers ready to move on to advice when their needs grow, a planning capability they can integrate into their own products, and lower mis-selling and complaint costs because customers are better informed.</w:t>
      </w:r>
    </w:p>
    <w:p w14:paraId="7DA1CFA2" w14:textId="77777777" w:rsidR="00DF21D7" w:rsidRDefault="00000000">
      <w:pPr>
        <w:spacing w:after="120"/>
      </w:pPr>
      <w:r>
        <w:t>The wider market gains a higher baseline of UK financial literacy and a measurable contribution to closing the advice gap. We will publish anonymised, aggregate outcome data after the cohort so the FCA and the wider sector can assess the impact independently.</w:t>
      </w:r>
    </w:p>
    <w:p w14:paraId="43A7623A" w14:textId="77777777" w:rsidR="00DF21D7" w:rsidRDefault="00000000">
      <w:pPr>
        <w:pStyle w:val="Heading1"/>
      </w:pPr>
      <w:r>
        <w:t>3.5 What role does AI play in helping you to solve this problem? (max 300 words)</w:t>
      </w:r>
    </w:p>
    <w:p w14:paraId="077025F6" w14:textId="77777777" w:rsidR="00DF21D7" w:rsidRDefault="00000000">
      <w:pPr>
        <w:spacing w:after="120"/>
      </w:pPr>
      <w:r>
        <w:t>AI is what makes Fynla possible. Without AI, joined-up planning across seven domains for mass-market consumers cannot be delivered at a price most people can afford, and that is why the advice gap exists today.</w:t>
      </w:r>
    </w:p>
    <w:p w14:paraId="746D0E81" w14:textId="77777777" w:rsidR="00DF21D7" w:rsidRDefault="00000000">
      <w:pPr>
        <w:spacing w:after="120"/>
      </w:pPr>
      <w:r>
        <w:t>AI plays four roles in Fynla.</w:t>
      </w:r>
    </w:p>
    <w:p w14:paraId="16D2574A" w14:textId="77777777" w:rsidR="00DF21D7" w:rsidRDefault="00000000">
      <w:pPr>
        <w:spacing w:after="120"/>
      </w:pPr>
      <w:r>
        <w:t>First, joined-up reasoning across domains. Fynla uses eight specialised agents — six domain agents (Protection, Savings, Investment, Retirement, Estate, Goals), a coordinating agent, and a tax optimisation agent — that consider a user’s whole financial picture together and trade off across domains. A flat ruleset cannot do this; an agent system can.</w:t>
      </w:r>
    </w:p>
    <w:p w14:paraId="1E6B5F11" w14:textId="77777777" w:rsidR="00DF21D7" w:rsidRDefault="00000000">
      <w:pPr>
        <w:spacing w:after="120"/>
      </w:pPr>
      <w:r>
        <w:t>Second, a UK financial planning language model. We will fine-tune an open-weight model on UK regulatory material (Conduct of Business Sourcebook, Consumer Duty, Senior Managers and Certification Regime, suitability rules, pension transfers, Inheritance Tax, protection) with built-in compliance and oversight checks. The model produces explainable answers that stay on the right side of the guidance/advice boundary.</w:t>
      </w:r>
    </w:p>
    <w:p w14:paraId="182AD6F6" w14:textId="77777777" w:rsidR="00DF21D7" w:rsidRDefault="00000000">
      <w:pPr>
        <w:spacing w:after="120"/>
      </w:pPr>
      <w:r>
        <w:t>Third, behavioural AI in the recommendation engine. A behavioural layer feeds three signals — disengagement risk, life-event likelihood, and predicted response to nudges — into Fynla’s existing recommendation engine. This adapts the order, timing, and tone of recommendations for each user, while leaving the engine’s underlying logic and audit trail unchanged.</w:t>
      </w:r>
    </w:p>
    <w:p w14:paraId="3E854F4B" w14:textId="77777777" w:rsidR="00DF21D7" w:rsidRDefault="00000000">
      <w:pPr>
        <w:spacing w:after="120"/>
      </w:pPr>
      <w:r>
        <w:t>Fourth, anomaly and vulnerability detection. AI flags fraud signals and signs of vulnerability (financial distress, cognitive decline, coercion) from user activity. We will calibrate thresholds with the FCA against Consumer Duty and the vulnerability framework.</w:t>
      </w:r>
    </w:p>
    <w:p w14:paraId="1B3FC55E" w14:textId="77777777" w:rsidR="00DF21D7" w:rsidRDefault="00000000">
      <w:pPr>
        <w:spacing w:after="120"/>
      </w:pPr>
      <w:r>
        <w:t>In short, AI turns Fynla from a calculator into a planner. With it, validated in the Sandbox, the advice gap becomes solvable.</w:t>
      </w:r>
    </w:p>
    <w:p w14:paraId="788367CF" w14:textId="77777777" w:rsidR="00DF21D7" w:rsidRDefault="00000000">
      <w:pPr>
        <w:pStyle w:val="Heading1"/>
      </w:pPr>
      <w:r>
        <w:t>3.6 What is novel or distinctive about your approach compared with existing market solutions or internal alternatives? (max 300 words)</w:t>
      </w:r>
    </w:p>
    <w:p w14:paraId="64326709" w14:textId="77777777" w:rsidR="00DF21D7" w:rsidRDefault="00000000">
      <w:pPr>
        <w:spacing w:after="120"/>
      </w:pPr>
      <w:r>
        <w:t xml:space="preserve">Compared with the market, UK consumer fintech today follows three patterns. Single-purpose tools (pension calculators, ISA platforms, mortgage sites, will-writing services) solve </w:t>
      </w:r>
      <w:r>
        <w:lastRenderedPageBreak/>
        <w:t>one problem and ignore the rest. Open banking apps display transactions but do not plan. Regulated advice is high quality but priced out of reach for most consumers. None of these patterns joins up the planning, and that is the gap Fynla addresses, because every domain decision affects every other.</w:t>
      </w:r>
    </w:p>
    <w:p w14:paraId="7CA7A167" w14:textId="77777777" w:rsidR="00DF21D7" w:rsidRDefault="00000000">
      <w:pPr>
        <w:spacing w:after="120"/>
      </w:pPr>
      <w:r>
        <w:t>Fynla differs on three counts at once: scope (seven planning areas in one model of the user), architecture (multiple AI agents reasoning together rather than flat rules or a single chatbot), and price (built for mass-market price points from day one, rather than a stripped-down tier of an adviser product).</w:t>
      </w:r>
    </w:p>
    <w:p w14:paraId="45E7E427" w14:textId="77777777" w:rsidR="00DF21D7" w:rsidRDefault="00000000">
      <w:pPr>
        <w:spacing w:after="120"/>
      </w:pPr>
      <w:r>
        <w:t>We considered three internal alternatives and rejected each.</w:t>
      </w:r>
    </w:p>
    <w:p w14:paraId="6C289032" w14:textId="77777777" w:rsidR="00DF21D7" w:rsidRDefault="00000000">
      <w:pPr>
        <w:spacing w:after="120"/>
      </w:pPr>
      <w:r>
        <w:t>A single language model wrapped over a tax engine. Rejected because it cannot reason rigorously across competing rules from different domains, and because there is no audit trail showing how it reached a recommendation.</w:t>
      </w:r>
    </w:p>
    <w:p w14:paraId="6B30BACF" w14:textId="77777777" w:rsidR="00DF21D7" w:rsidRDefault="00000000">
      <w:pPr>
        <w:spacing w:after="120"/>
      </w:pPr>
      <w:r>
        <w:t>A flat rules engine with no AI. Rejected because UK financial planning is too complex for hand-coded rules to remain current, and because rules cannot handle natural-language conversation.</w:t>
      </w:r>
    </w:p>
    <w:p w14:paraId="477B7FB9" w14:textId="77777777" w:rsidR="00DF21D7" w:rsidRDefault="00000000">
      <w:pPr>
        <w:spacing w:after="120"/>
      </w:pPr>
      <w:r>
        <w:t>A single-domain product extended later. Rejected because it would have re-created the advice gap we exist to close.</w:t>
      </w:r>
    </w:p>
    <w:p w14:paraId="67DFC508" w14:textId="77777777" w:rsidR="00DF21D7" w:rsidRDefault="00000000">
      <w:pPr>
        <w:spacing w:after="120"/>
      </w:pPr>
      <w:r>
        <w:t>Our chosen approach is a multi-agent system with a coordinating layer, a deterministic UK tax engine as ground truth, and a chat interface. AI handles judgement (cross-domain trade-offs, conversation, projections); deterministic code handles arithmetic (tax, allowances, regulatory limits); and explainability is built in throughout for Consumer Duty. That combination — AI for judgement, code for arithmetic, with explainability throughout — is what is new.</w:t>
      </w:r>
    </w:p>
    <w:p w14:paraId="0E96A22B" w14:textId="77777777" w:rsidR="00DF21D7" w:rsidRDefault="00000000">
      <w:pPr>
        <w:pStyle w:val="Heading1"/>
      </w:pPr>
      <w:r>
        <w:t>4.1 What specifically do you want to develop, test, validate, or demonstrate during the Supercharged Sandbox? (max 300 words)</w:t>
      </w:r>
    </w:p>
    <w:p w14:paraId="43D8126E" w14:textId="77777777" w:rsidR="00DF21D7" w:rsidRDefault="00000000">
      <w:pPr>
        <w:spacing w:after="120"/>
      </w:pPr>
      <w:r>
        <w:t>We propose three workstreams across the five-month cohort, each with Demo Day deliverables.</w:t>
      </w:r>
    </w:p>
    <w:p w14:paraId="5347D263" w14:textId="77777777" w:rsidR="00DF21D7" w:rsidRDefault="00000000">
      <w:pPr>
        <w:pStyle w:val="Heading2"/>
        <w:spacing w:before="220"/>
      </w:pPr>
      <w:r>
        <w:t>Track 1 — UK financial planning language model</w:t>
      </w:r>
    </w:p>
    <w:p w14:paraId="055F044C" w14:textId="77777777" w:rsidR="00DF21D7" w:rsidRDefault="00000000">
      <w:pPr>
        <w:spacing w:after="120"/>
      </w:pPr>
      <w:r>
        <w:t>We will fine-tune an open-weight base model on UK regulatory material (Conduct of Business Sourcebook, Consumer Duty, Senior Managers and Certification Regime, suitability, pension transfers, Inheritance Tax, protection) with compliance, oversight, and professionalism layers, grounded in the user’s data, the seven planning agents, and Fynla’s UK tax engine, and constrained to the guidance side of the guidance/advice boundary.</w:t>
      </w:r>
    </w:p>
    <w:p w14:paraId="29349367" w14:textId="77777777" w:rsidR="00DF21D7" w:rsidRDefault="00000000">
      <w:pPr>
        <w:spacing w:after="120"/>
      </w:pPr>
      <w:r>
        <w:t>We will probe it adversarially over synthetic personas for hallucination, advice-boundary breaches, and Consumer Duty failures, validate against qualified UK planners on correctness, regulatory alignment, and professionalism, with the compliance layer checked against FCA case studies, and at Demo Day present live cross-domain planning conversations with traceable reasoning and an auditable compliance trace.</w:t>
      </w:r>
    </w:p>
    <w:p w14:paraId="6107AE4F" w14:textId="77777777" w:rsidR="00DF21D7" w:rsidRDefault="00000000">
      <w:pPr>
        <w:pStyle w:val="Heading2"/>
        <w:spacing w:before="220"/>
      </w:pPr>
      <w:r>
        <w:t>Track 2 — Behavioural AI in the recommendation engine</w:t>
      </w:r>
    </w:p>
    <w:p w14:paraId="7EB6E902" w14:textId="77777777" w:rsidR="00DF21D7" w:rsidRDefault="00000000">
      <w:pPr>
        <w:spacing w:after="120"/>
      </w:pPr>
      <w:r>
        <w:t>We will add a behavioural layer feeding three signals (disengagement risk, life-event likelihood, predicted nudge response) into Fynla’s existing recommendation engine, preserving engine logic and audit trail.</w:t>
      </w:r>
    </w:p>
    <w:p w14:paraId="4A15E989" w14:textId="77777777" w:rsidR="00DF21D7" w:rsidRDefault="00000000">
      <w:pPr>
        <w:spacing w:after="120"/>
      </w:pPr>
      <w:r>
        <w:t xml:space="preserve">We will measure predictive accuracy and recommendation lift against the deterministic-only baseline, validate against Consumer Duty with the FCA coordinator advising on the line between helpful personalisation and dark patterns, and at Demo Day show </w:t>
      </w:r>
      <w:r>
        <w:lastRenderedPageBreak/>
        <w:t>recommendations re-ordered and re-timed live, with contributing signals visible in the audit trail.</w:t>
      </w:r>
    </w:p>
    <w:p w14:paraId="45AD17B1" w14:textId="77777777" w:rsidR="00DF21D7" w:rsidRDefault="00000000">
      <w:pPr>
        <w:pStyle w:val="Heading2"/>
        <w:spacing w:before="220"/>
      </w:pPr>
      <w:r>
        <w:t>Track 3 — Anomaly and vulnerability detection</w:t>
      </w:r>
    </w:p>
    <w:p w14:paraId="1C72C2DC" w14:textId="77777777" w:rsidR="00DF21D7" w:rsidRDefault="00000000">
      <w:pPr>
        <w:spacing w:after="120"/>
      </w:pPr>
      <w:r>
        <w:t>We will build an AI layer flagging fraud and vulnerability signals (financial distress, cognitive decline, coercion) from synthetic transaction streams, measure false-positive and false-negative rates against labelled adversarial cases, and calibrate thresholds with the FCA coordinator against Consumer Duty and the vulnerability framework.</w:t>
      </w:r>
    </w:p>
    <w:p w14:paraId="79AA386D" w14:textId="77777777" w:rsidR="00DF21D7" w:rsidRDefault="00000000">
      <w:pPr>
        <w:pStyle w:val="Heading2"/>
        <w:spacing w:before="220"/>
      </w:pPr>
      <w:r>
        <w:t>Cross-cutting deliverable</w:t>
      </w:r>
    </w:p>
    <w:p w14:paraId="1243AAE2" w14:textId="77777777" w:rsidR="00DF21D7" w:rsidRDefault="00000000">
      <w:pPr>
        <w:spacing w:after="120"/>
      </w:pPr>
      <w:r>
        <w:t>A reusable model-risk and explainability framework documenting how each AI component meets FCA expectations.</w:t>
      </w:r>
    </w:p>
    <w:p w14:paraId="48FF4830" w14:textId="77777777" w:rsidR="00DF21D7" w:rsidRDefault="00000000">
      <w:pPr>
        <w:pStyle w:val="Heading1"/>
      </w:pPr>
      <w:r>
        <w:t>4.2 Why is the Supercharged Sandbox needed for this work?</w:t>
      </w:r>
    </w:p>
    <w:p w14:paraId="04813A19" w14:textId="77777777" w:rsidR="00DF21D7" w:rsidRDefault="00000000">
      <w:pPr>
        <w:spacing w:after="120"/>
      </w:pPr>
      <w:r>
        <w:t>The Sandbox is the only place that addresses all three of our blockers at once: data, compute, and FCA dialogue. Each track depends on at least two of them.</w:t>
      </w:r>
    </w:p>
    <w:p w14:paraId="6C9E90B2" w14:textId="77777777" w:rsidR="00DF21D7" w:rsidRDefault="00000000">
      <w:pPr>
        <w:spacing w:after="120"/>
      </w:pPr>
      <w:r>
        <w:t>UK consumer data at scale. Track 1 (the planning language model) and Track 2 (the behavioural AI) both need large volumes of realistic UK financial trajectories — earnings, pensions, ISAs, property, life events — to train and evaluate against. We cannot generate this at sufficient fidelity alone, and we will not train AI on live Fynla user data. The Sandbox’s curated synthetic datasets across consumer behaviour, fraud, and digital identity are unique to the cohort and resolve this constraint.</w:t>
      </w:r>
    </w:p>
    <w:p w14:paraId="1A21DEAC" w14:textId="77777777" w:rsidR="00DF21D7" w:rsidRDefault="00000000">
      <w:pPr>
        <w:spacing w:after="120"/>
      </w:pPr>
      <w:r>
        <w:t>GPU compute. Fine-tuning a domain-specific language model and training behavioural models both require substantial compute. Renting commercial GPUs is possible but expensive at this stage, lacks integrated tooling, and produces no FCA dialogue alongside it. The Sandbox’s NVIDIA-backed compute and integrated APIs allow us to run all three tracks in parallel.</w:t>
      </w:r>
    </w:p>
    <w:p w14:paraId="20683671" w14:textId="77777777" w:rsidR="00DF21D7" w:rsidRDefault="00000000">
      <w:pPr>
        <w:spacing w:after="120"/>
      </w:pPr>
      <w:r>
        <w:t>Sustained FCA dialogue at development stage. The questions we need answered — where the guidance/advice line sits for an AI assistant, how Consumer Duty applies to AI-driven personalisation, and what model-risk framework satisfies the FCA — cannot be answered from public guidance. Most FCA engagement happens at authorisation, which presupposes that the work is finished. The Sandbox is the only development-stage venue for this dialogue, and the dedicated FCA coordinator is irreplaceable.</w:t>
      </w:r>
    </w:p>
    <w:p w14:paraId="58FD4B3D" w14:textId="77777777" w:rsidR="00DF21D7" w:rsidRDefault="00000000">
      <w:pPr>
        <w:spacing w:after="120"/>
      </w:pPr>
      <w:r>
        <w:t>All three together. General accelerators offer none of these. Cloud GPU rental provides compute alone. Industry RegTech mentorship provides dialogue but no compute or data. Only the Supercharged Sandbox combines all three with mentorship, Demo Day exposure, and an alumni network for the path beyond the cohort.</w:t>
      </w:r>
    </w:p>
    <w:p w14:paraId="083C5A3A" w14:textId="77777777" w:rsidR="00DF21D7" w:rsidRDefault="00000000">
      <w:pPr>
        <w:pStyle w:val="Heading1"/>
      </w:pPr>
      <w:r>
        <w:t>4.3 Why is now the right time for your organisation to undertake this work?</w:t>
      </w:r>
    </w:p>
    <w:p w14:paraId="0E5E083D" w14:textId="77777777" w:rsidR="00DF21D7" w:rsidRDefault="00000000">
      <w:pPr>
        <w:spacing w:after="120"/>
      </w:pPr>
      <w:r>
        <w:t>We have spent the last six months building Fynla v1.0 and refining it with user feedback. The deterministic foundation — seven planning modules, a UK tax engine, and the multi-agent architecture — is now stable. That foundation is the precondition for adding AI on top, because an AI assistant has nothing to ground itself in without it.</w:t>
      </w:r>
    </w:p>
    <w:p w14:paraId="486EC33B" w14:textId="77777777" w:rsidR="00DF21D7" w:rsidRDefault="00000000">
      <w:pPr>
        <w:spacing w:after="120"/>
      </w:pPr>
      <w:r>
        <w:t>We are now ready to fine-tune a domain-specific model and turn the app from a calculator into a planner that gives users useful, valid, and timely strategies based on their own data, updating as their circumstances change.</w:t>
      </w:r>
    </w:p>
    <w:p w14:paraId="5C449BAD" w14:textId="77777777" w:rsidR="00DF21D7" w:rsidRDefault="00000000">
      <w:pPr>
        <w:spacing w:after="120"/>
      </w:pPr>
      <w:r>
        <w:lastRenderedPageBreak/>
        <w:t>Had we started this work earlier, we would still be testing the underlying application rather than what the application can surface. Had we started later, we would be doing regulatory and validation work after public exposure, which is materially harder.</w:t>
      </w:r>
    </w:p>
    <w:p w14:paraId="4F15359B" w14:textId="77777777" w:rsidR="00DF21D7" w:rsidRDefault="00000000">
      <w:pPr>
        <w:pStyle w:val="Heading1"/>
      </w:pPr>
      <w:r>
        <w:t>4.5 Please provide any additional context on your current stage of development</w:t>
      </w:r>
    </w:p>
    <w:p w14:paraId="7BB65B83" w14:textId="77777777" w:rsidR="00DF21D7" w:rsidRDefault="00000000">
      <w:pPr>
        <w:spacing w:after="120"/>
      </w:pPr>
      <w:r>
        <w:t>Three things have lined up at the same time, and the timing is unlikely to recur.</w:t>
      </w:r>
    </w:p>
    <w:p w14:paraId="1DE1B97C" w14:textId="77777777" w:rsidR="00DF21D7" w:rsidRDefault="00000000">
      <w:pPr>
        <w:spacing w:after="120"/>
      </w:pPr>
      <w:r>
        <w:t>Fynla is at the right product stage, and only just. Fynla v1.0 is production-ready as a deterministic financial planning app, with the seven modules, the UK tax engine, and the multi-agent architecture all in place. That foundation is what an AI layer needs to ground itself in. Twelve months from now the AI layer should be live, and undertaking regulatory work after a public launch is materially harder than doing it before one.</w:t>
      </w:r>
    </w:p>
    <w:p w14:paraId="77959E7D" w14:textId="77777777" w:rsidR="00DF21D7" w:rsidRDefault="00000000">
      <w:pPr>
        <w:spacing w:after="120"/>
      </w:pPr>
      <w:r>
        <w:t>AI capability has crossed the threshold this work requires. Domain-specific fine-tuning of large language models has produced useful, controllable outputs only over the past 12 to 18 months. Reasoning across structured data with explainable traces is now within reach for a small team, and behavioural AI in recommendation engines is mature.</w:t>
      </w:r>
    </w:p>
    <w:p w14:paraId="41EE1673" w14:textId="77777777" w:rsidR="00DF21D7" w:rsidRDefault="00000000">
      <w:pPr>
        <w:spacing w:after="120"/>
      </w:pPr>
      <w:r>
        <w:t>UK regulation is being shaped now. Consumer Duty came into force in 2023, and the FCA’s AI Update was published in April 2024. The framework for AI in UK retail finance is being written now. Joining the cohort means contributing to that framework rather than reacting to it. For a UK-only, AI-first, holistic-planning product, that influence window is unique and time-limited.</w:t>
      </w:r>
    </w:p>
    <w:p w14:paraId="65E00920" w14:textId="77777777" w:rsidR="00DF21D7" w:rsidRDefault="00000000">
      <w:pPr>
        <w:spacing w:after="120"/>
      </w:pPr>
      <w:r>
        <w:t>Product, technical, and regulatory readiness are aligned now, and the cohort is the only venue that brings all three together.</w:t>
      </w:r>
    </w:p>
    <w:p w14:paraId="5ECAF82D" w14:textId="77777777" w:rsidR="00DF21D7" w:rsidRDefault="00000000">
      <w:pPr>
        <w:pStyle w:val="Heading1"/>
      </w:pPr>
      <w:r>
        <w:t>5.1 What data does your project require?</w:t>
      </w:r>
    </w:p>
    <w:p w14:paraId="2B9FB13D" w14:textId="77777777" w:rsidR="00DF21D7" w:rsidRDefault="00000000">
      <w:pPr>
        <w:spacing w:after="120"/>
      </w:pPr>
      <w:r>
        <w:t>We need three categories of data.</w:t>
      </w:r>
    </w:p>
    <w:p w14:paraId="285F314D" w14:textId="77777777" w:rsidR="00DF21D7" w:rsidRDefault="00000000">
      <w:pPr>
        <w:spacing w:after="120"/>
      </w:pPr>
      <w:r>
        <w:t>First, UK regulatory text and guidance for the planning language model: the Conduct of Business Sourcebook, the Consumer Duty handbook, the Senior Managers and Certification Regime, pension transfer rules, suitability rules, and FCA Final Notices as compliance examples. All of this is public.</w:t>
      </w:r>
    </w:p>
    <w:p w14:paraId="66F31D07" w14:textId="77777777" w:rsidR="00DF21D7" w:rsidRDefault="00000000">
      <w:pPr>
        <w:spacing w:after="120"/>
      </w:pPr>
      <w:r>
        <w:t>Second, realistic UK consumer trajectories for the behavioural AI: engagement patterns, life-event sequences, and nudge responses across UK life stages.</w:t>
      </w:r>
    </w:p>
    <w:p w14:paraId="17AD8F61" w14:textId="77777777" w:rsidR="00DF21D7" w:rsidRDefault="00000000">
      <w:pPr>
        <w:spacing w:after="120"/>
      </w:pPr>
      <w:r>
        <w:t>Third, synthetic transaction streams and labelled vulnerability signals for anomaly detection: fraud signals, financial distress, coercion, and cognitive decline indicators.</w:t>
      </w:r>
    </w:p>
    <w:p w14:paraId="78623D0C" w14:textId="77777777" w:rsidR="00DF21D7" w:rsidRDefault="00000000">
      <w:pPr>
        <w:spacing w:after="120"/>
      </w:pPr>
      <w:r>
        <w:t>We already have full access to the first category, and our own preview-persona fixtures (young family, peak earners, entrepreneur, young saver, retired couple, student) provide small-scale synthetic profiles. The second and third categories depend on Sandbox-provided data; we have no commercial alternative at the right scale and quality.</w:t>
      </w:r>
    </w:p>
    <w:p w14:paraId="6BCCFA21" w14:textId="77777777" w:rsidR="00DF21D7" w:rsidRDefault="00000000">
      <w:pPr>
        <w:spacing w:after="120"/>
      </w:pPr>
      <w:r>
        <w:t>None of the cohort work uses real personal data. We will not train AI on live Fynla user data at any point. This is privacy by design.</w:t>
      </w:r>
    </w:p>
    <w:p w14:paraId="31A4BF19" w14:textId="77777777" w:rsidR="00DF21D7" w:rsidRDefault="00000000">
      <w:pPr>
        <w:spacing w:after="120"/>
      </w:pPr>
      <w:r>
        <w:t>Synthetic data is the planned input throughout. The Sandbox’s curated synthetic datasets are the primary inputs for Tracks 2 and 3, and they align directly with the cohort’s named use cases (fraud detection, consumer behaviour modelling, digital identity). Where Sandbox data does not extend (for example, UK Inheritance Tax planning across joint property and trusts), we will generate additional synthetic trajectories using Fynla’s own tax engine as the ground-truth oracle.</w:t>
      </w:r>
    </w:p>
    <w:p w14:paraId="1843E658" w14:textId="77777777" w:rsidR="00DF21D7" w:rsidRDefault="00000000">
      <w:pPr>
        <w:spacing w:after="120"/>
      </w:pPr>
      <w:r>
        <w:lastRenderedPageBreak/>
        <w:t>Several Innovation Platform ecosystems map directly onto our work: Wealth, Customer Experience, RegTech, Generative AI, Fraud, Consumer Lending, Insurance, Open Banking, and ESG all contain datasets and resources relevant to one or more tracks. We will agree the specific datasets and access scope with the FCA coordinator at intake.</w:t>
      </w:r>
    </w:p>
    <w:p w14:paraId="7FE883A6" w14:textId="77777777" w:rsidR="00DF21D7" w:rsidRDefault="00000000">
      <w:pPr>
        <w:pStyle w:val="Heading1"/>
      </w:pPr>
      <w:r>
        <w:t>5.2 What compute resources do you expect to need?</w:t>
      </w:r>
    </w:p>
    <w:p w14:paraId="160F74AA" w14:textId="77777777" w:rsidR="00DF21D7" w:rsidRDefault="00000000">
      <w:pPr>
        <w:spacing w:after="120"/>
      </w:pPr>
      <w:r>
        <w:t>Model and size. A single foundation model serves all three tracks: an open-weight base of around 70 billion parameters (for example, Llama 3 70B or an equivalent) fine-tuned for UK financial planning, regulatory advice, and compliance reasoning. Smaller models do not produce controllable, explainable guidance at the standard the cohort requires. The same fine-tuned model is reused across the three tracks via track-specific prompts, retrieval context, and lightweight scoring layers. We train one model, not three.</w:t>
      </w:r>
    </w:p>
    <w:p w14:paraId="69FB4CE3" w14:textId="77777777" w:rsidR="00DF21D7" w:rsidRDefault="00000000">
      <w:pPr>
        <w:spacing w:after="120"/>
      </w:pPr>
      <w:r>
        <w:t>Activity. The work is mostly fine-tuning and inference, not training from scratch.</w:t>
      </w:r>
    </w:p>
    <w:p w14:paraId="68C183F8" w14:textId="77777777" w:rsidR="00DF21D7" w:rsidRDefault="00000000">
      <w:pPr>
        <w:spacing w:after="120"/>
      </w:pPr>
      <w:r>
        <w:t>Fine-tuning will be parameter-efficient (LoRA or QLoRA) on the 70B base, with full supervised fine-tuning where it adds value.</w:t>
      </w:r>
    </w:p>
    <w:p w14:paraId="62F0A353" w14:textId="77777777" w:rsidR="00DF21D7" w:rsidRDefault="00000000">
      <w:pPr>
        <w:spacing w:after="120"/>
      </w:pPr>
      <w:r>
        <w:t>Inference will be extensive across all three tracks: synthetic personas and adversarial probes for Track 1, held-out behavioural trajectories for Track 2, and labelled adversarial cases for Track 3.</w:t>
      </w:r>
    </w:p>
    <w:p w14:paraId="44B68603" w14:textId="77777777" w:rsidR="00DF21D7" w:rsidRDefault="00000000">
      <w:pPr>
        <w:spacing w:after="120"/>
      </w:pPr>
      <w:r>
        <w:t>Lightweight scoring layers (embeddings and gradient-boosted classifiers) will sit over the model’s outputs where speed or cost requires it.</w:t>
      </w:r>
    </w:p>
    <w:p w14:paraId="293FF948" w14:textId="77777777" w:rsidR="00DF21D7" w:rsidRDefault="00000000">
      <w:pPr>
        <w:spacing w:after="120"/>
      </w:pPr>
      <w:r>
        <w:t>GPUs. NVIDIA A100 80GB or H100 class. Fine-tuning peaks at 4 to 8 GPUs for LoRA or QLoRA and 8 to 16 GPUs for supervised fine-tuning runs. Steady-state demand is 4 to 8 GPUs for daily experimentation and parallel evaluation, with 1 to 2 GPUs reserved for live demonstration on Demo Day.</w:t>
      </w:r>
    </w:p>
    <w:p w14:paraId="164B10FB" w14:textId="77777777" w:rsidR="00DF21D7" w:rsidRDefault="00000000">
      <w:pPr>
        <w:spacing w:after="120"/>
      </w:pPr>
      <w:r>
        <w:t>After the cohort, production inference will run via a managed API rather than on self-hosted infrastructure, so security, scaling, observability, and uptime are covered by the provider’s controls.</w:t>
      </w:r>
    </w:p>
    <w:p w14:paraId="58D72E25" w14:textId="77777777" w:rsidR="00DF21D7" w:rsidRDefault="00000000">
      <w:pPr>
        <w:pStyle w:val="Heading1"/>
      </w:pPr>
      <w:r>
        <w:t>5.4 What development tooling are you likely to require?</w:t>
      </w:r>
    </w:p>
    <w:p w14:paraId="52122DC9" w14:textId="77777777" w:rsidR="00DF21D7" w:rsidRDefault="00000000">
      <w:pPr>
        <w:spacing w:after="120"/>
      </w:pPr>
      <w:r>
        <w:t>From the Sandbox and NVIDIA stack (assumed available): GPU drivers, CUDA, cuDNN, and NCCL for distributed training; NVIDIA NeMo (or an equivalent) for fine-tuning at scale; container environments (NGC catalogue images, Docker); NVIDIA NIM microservices for served inference during evaluation, if needed; and the privacy-enhancing tools provided by the platform.</w:t>
      </w:r>
    </w:p>
    <w:p w14:paraId="1E736AE3" w14:textId="77777777" w:rsidR="00DF21D7" w:rsidRDefault="00000000">
      <w:pPr>
        <w:spacing w:after="120"/>
      </w:pPr>
      <w:r>
        <w:t>For fine-tuning and serving: Hugging Face transformers, PEFT (LoRA or QLoRA), TRL, and accelerate; PyTorch with DeepSpeed or FSDP for distributed fine-tuning; and vLLM or TGI for batched inference during evaluation.</w:t>
      </w:r>
    </w:p>
    <w:p w14:paraId="4CD84B66" w14:textId="77777777" w:rsidR="00DF21D7" w:rsidRDefault="00000000">
      <w:pPr>
        <w:spacing w:after="120"/>
      </w:pPr>
      <w:r>
        <w:t>For data engineering: pandas, Polars, and DuckDB for synthetic-dataset preparation; differential privacy libraries (Opacus, OpenDP) where relevant; and tokenisation utilities for the chosen base model.</w:t>
      </w:r>
    </w:p>
    <w:p w14:paraId="20D16618" w14:textId="77777777" w:rsidR="00DF21D7" w:rsidRDefault="00000000">
      <w:pPr>
        <w:spacing w:after="120"/>
      </w:pPr>
      <w:r>
        <w:t>For evaluation, observability, and audit: lm-evaluation-harness and custom rubrics for held-out persona scoring; adversarial probing tools (garak, PyRIT, Promptfoo) for hallucination, advice-boundary breaches, and Consumer Duty failure modes; trace logging via LangSmith or Langfuse to give the FCA assessor an explainable record; and Weights &amp; Biases or MLflow for experiment tracking.</w:t>
      </w:r>
    </w:p>
    <w:p w14:paraId="1C4658A0" w14:textId="77777777" w:rsidR="00DF21D7" w:rsidRDefault="00000000">
      <w:pPr>
        <w:spacing w:after="120"/>
      </w:pPr>
      <w:r>
        <w:t>For the behavioural AI layer: a vector database (Postgres pgvector, Qdrant, or an equivalent) for retrieval; XGBoost or LightGBM for scoring layers over the model’s outputs; and embedding models, possibly fine-tuned from the same 70B base.</w:t>
      </w:r>
    </w:p>
    <w:p w14:paraId="51C2A48D" w14:textId="77777777" w:rsidR="00DF21D7" w:rsidRDefault="00000000">
      <w:pPr>
        <w:spacing w:after="120"/>
      </w:pPr>
      <w:r>
        <w:lastRenderedPageBreak/>
        <w:t>For integration with Fynla: a thin Python service that the existing Laravel and Vue.js application calls into via API for both inference and evaluation feedback. The Sandbox work plugs back into the production codebase rather than living in isolation.</w:t>
      </w:r>
    </w:p>
    <w:p w14:paraId="332F986E" w14:textId="77777777" w:rsidR="00DF21D7" w:rsidRDefault="00000000">
      <w:pPr>
        <w:spacing w:after="120"/>
      </w:pPr>
      <w:r>
        <w:t>Where any of the above is already provided as a managed Sandbox capability, we will use that in preference to bringing our own.</w:t>
      </w:r>
    </w:p>
    <w:p w14:paraId="43F77A52" w14:textId="77777777" w:rsidR="00DF21D7" w:rsidRDefault="00000000">
      <w:pPr>
        <w:pStyle w:val="Heading1"/>
      </w:pPr>
      <w:r>
        <w:t>5.7 Are there any specific blockers, dependencies, or risks that could prevent successful delivery?</w:t>
      </w:r>
    </w:p>
    <w:p w14:paraId="081C64C6" w14:textId="77777777" w:rsidR="00DF21D7" w:rsidRDefault="00000000">
      <w:pPr>
        <w:spacing w:after="120"/>
      </w:pPr>
      <w:r>
        <w:t>We have considered four categories of risk. Each is mitigated, not eliminated.</w:t>
      </w:r>
    </w:p>
    <w:p w14:paraId="4452B042" w14:textId="77777777" w:rsidR="00DF21D7" w:rsidRDefault="00000000">
      <w:pPr>
        <w:spacing w:after="120"/>
      </w:pPr>
      <w:r>
        <w:t>Regulatory risk. The biggest open question is where the FCA places the line between guidance and a personal recommendation for an AI assistant grounded in a user’s own data. If the line moves mid-cohort, parts of the planning copilot may need re-scoping. Mitigation: this is exactly what the FCA coordinator is for, and early, continuous engagement allows us to adapt the design rather than rework the build.</w:t>
      </w:r>
    </w:p>
    <w:p w14:paraId="3340B3E3" w14:textId="77777777" w:rsidR="00DF21D7" w:rsidRDefault="00000000">
      <w:pPr>
        <w:spacing w:after="120"/>
      </w:pPr>
      <w:r>
        <w:t>Synthetic data fitness. Sandbox datasets may not cover every UK edge case — trust structures, joint property with split Residence Nil Rate Bands, defined-benefit transfers, niche estate scenarios. Mitigation: where coverage is thin we will generate additional synthetic trajectories using Fynla’s own tax engine as the ground-truth oracle, and we will agree any dataset gaps with the coordinator at intake.</w:t>
      </w:r>
    </w:p>
    <w:p w14:paraId="5441D21F" w14:textId="77777777" w:rsidR="00DF21D7" w:rsidRDefault="00000000">
      <w:pPr>
        <w:spacing w:after="120"/>
      </w:pPr>
      <w:r>
        <w:t>Foundation model licensing and hosting. Llama 3 70B and most open-weight 70B-and-above alternatives carry community licences with usage thresholds and API-hosting constraints. Mitigation: we will validate the licence terms for the chosen base model and the chosen API provider before fine-tuning begins, including the path for serving custom-fine-tuned weights after the cohort.</w:t>
      </w:r>
    </w:p>
    <w:p w14:paraId="7C26D41D" w14:textId="77777777" w:rsidR="00DF21D7" w:rsidRDefault="00000000">
      <w:pPr>
        <w:spacing w:after="120"/>
      </w:pPr>
      <w:r>
        <w:t>AI safety and Consumer Duty failure modes. Hallucination, advice-boundary breaches, vulnerability false positives, and bias are real risks for any LLM-driven retail finance product. Mitigation: each is an explicit evaluation track in our cohort plan, with adversarial probing, FCA coordinator calibration, and a published model-risk and explainability framework as deliverables.</w:t>
      </w:r>
    </w:p>
    <w:p w14:paraId="78A4491A" w14:textId="77777777" w:rsidR="00DF21D7" w:rsidRDefault="00000000">
      <w:pPr>
        <w:pStyle w:val="Heading1"/>
      </w:pPr>
      <w:r>
        <w:t>6.1 Please outline your expected milestones across the cohort period (max 300 words)</w:t>
      </w:r>
    </w:p>
    <w:p w14:paraId="5195724A" w14:textId="77777777" w:rsidR="00DF21D7" w:rsidRDefault="00000000">
      <w:pPr>
        <w:spacing w:after="120"/>
      </w:pPr>
      <w:r>
        <w:t>Five months, three parallel tracks, one fine-tuned 70B model, and four FCA coordinator checkpoints. Each month closes with a specific deliverable.</w:t>
      </w:r>
    </w:p>
    <w:p w14:paraId="6D4E66DC" w14:textId="77777777" w:rsidR="00DF21D7" w:rsidRDefault="00000000">
      <w:pPr>
        <w:spacing w:after="120"/>
      </w:pPr>
      <w:r>
        <w:t>Month 1 — Onboarding and foundations. Sandbox onboarding (GPU and dataset access, technical environment). FCA coordinator intake meeting to agree success metrics, evaluation rubric, and Consumer Duty alignment criteria. Curate the UK regulatory training corpus, validate the base model choice, and stand up the LoRA / QLoRA fine-tuning pipeline and evaluation harness. Deliverable: baseline evaluation report against deterministic Fynla outputs.</w:t>
      </w:r>
    </w:p>
    <w:p w14:paraId="73CCE7ED" w14:textId="77777777" w:rsidR="00DF21D7" w:rsidRDefault="00000000">
      <w:pPr>
        <w:spacing w:after="120"/>
      </w:pPr>
      <w:r>
        <w:t>Month 2 — First fine-tuning pass and Track 1 prototype. Complete the first parameter-efficient fine-tuning run and produce a working Track 1 prototype answering cross-domain questions over synthetic personas. Initial adversarial probing covers hallucination and advice-boundary breaches. Deliverable: Track 1 prototype and FCA coordinator review.</w:t>
      </w:r>
    </w:p>
    <w:p w14:paraId="16EA5F6B" w14:textId="77777777" w:rsidR="00DF21D7" w:rsidRDefault="00000000">
      <w:pPr>
        <w:spacing w:after="120"/>
      </w:pPr>
      <w:r>
        <w:t xml:space="preserve">Month 3 — Behavioural AI and anomaly detection prototypes. Stand up the Track 2 behavioural layer over the recommendation engine and prototype the Track 3 anomaly and vulnerability layer over synthetic transaction streams. Iterate Track 1 against Month 2 </w:t>
      </w:r>
      <w:r>
        <w:lastRenderedPageBreak/>
        <w:t>feedback. Mid-cohort FCA coordinator checkpoint. Deliverable: prototypes of all three tracks running on the same fine-tuned model.</w:t>
      </w:r>
    </w:p>
    <w:p w14:paraId="385B4A23" w14:textId="77777777" w:rsidR="00DF21D7" w:rsidRDefault="00000000">
      <w:pPr>
        <w:spacing w:after="120"/>
      </w:pPr>
      <w:r>
        <w:t>Month 4 — Validation and hardening. Blind comparisons of Track 1 against qualified UK planners; Track 2 recommendation lift against the deterministic baseline; Track 3 false-positive and false-negative calibration with the FCA coordinator. Stress testing covers adversarial probes, edge cases, and Consumer Duty alignment. Deliverable: validation report and first draft of the model-risk and explainability framework.</w:t>
      </w:r>
    </w:p>
    <w:p w14:paraId="2137F862" w14:textId="77777777" w:rsidR="00DF21D7" w:rsidRDefault="00000000">
      <w:pPr>
        <w:spacing w:after="120"/>
      </w:pPr>
      <w:r>
        <w:t>Month 5 — Demo Day preparation and showcase. Final tuning pass, live demo workflows, and the finalised model-risk and explainability framework. At Demo Day in November we present the three components — planning copilot, behavioural AI, anomaly detection — to the FCA, NVIDIA, sponsors, and ecosystem stakeholders, and publish the post-cohort plan.</w:t>
      </w:r>
    </w:p>
    <w:p w14:paraId="7B408F01" w14:textId="77777777" w:rsidR="00DF21D7" w:rsidRDefault="00000000">
      <w:pPr>
        <w:pStyle w:val="Heading1"/>
      </w:pPr>
      <w:r>
        <w:t>6.2 What specific outcomes do you aim to achieve by the end of the cohort?</w:t>
      </w:r>
    </w:p>
    <w:p w14:paraId="76BB1D89" w14:textId="77777777" w:rsidR="00DF21D7" w:rsidRDefault="00000000">
      <w:pPr>
        <w:spacing w:after="120"/>
      </w:pPr>
      <w:r>
        <w:t>By the end of the cohort we aim to have produced five concrete outcomes — the technical artefacts, validation evidence, and regulatory deliverables that justify a controlled production rollout afterwards.</w:t>
      </w:r>
    </w:p>
    <w:p w14:paraId="0368FA7F" w14:textId="77777777" w:rsidR="00DF21D7" w:rsidRDefault="00000000">
      <w:pPr>
        <w:spacing w:after="120"/>
      </w:pPr>
      <w:r>
        <w:t>A fine-tuned 70B foundation model for UK financial planning, trained on UK regulatory advice (Conduct of Business Sourcebook, Consumer Duty, Senior Managers and Certification Regime, suitability rules, pension transfers, Inheritance Tax, protection) with compliance, oversight, and professionalism layers. The same model serves all three tracks.</w:t>
      </w:r>
    </w:p>
    <w:p w14:paraId="6D5E9900" w14:textId="77777777" w:rsidR="00DF21D7" w:rsidRDefault="00000000">
      <w:pPr>
        <w:spacing w:after="120"/>
      </w:pPr>
      <w:r>
        <w:t>Three working AI components: a planning copilot that reasons across the seven domains; a behavioural AI layer that feeds the existing recommendation engine; and an anomaly and vulnerability detection layer over synthetic transaction streams. All three are integrated, demonstrable, and traceable.</w:t>
      </w:r>
    </w:p>
    <w:p w14:paraId="61207E0C" w14:textId="77777777" w:rsidR="00DF21D7" w:rsidRDefault="00000000">
      <w:pPr>
        <w:spacing w:after="120"/>
      </w:pPr>
      <w:r>
        <w:t>Quantified validation evidence: decision-quality scores from blind comparisons against qualified UK planners (correctness, regulatory alignment, professionalism); recommendation-lift metrics against the deterministic-only baseline; false-positive and false-negative rates for vulnerability and fraud detection; and Consumer Duty alignment evidence on adversarial test cases. Numbers, not narrative.</w:t>
      </w:r>
    </w:p>
    <w:p w14:paraId="369085AD" w14:textId="77777777" w:rsidR="00DF21D7" w:rsidRDefault="00000000">
      <w:pPr>
        <w:spacing w:after="120"/>
      </w:pPr>
      <w:r>
        <w:t>A model-risk and explainability framework documenting how each AI component meets FCA expectations — the controls, evaluation rubrics, audit trails, and explainability methods built during the cohort. The framework will be published as the cross-cutting deliverable and as a reference for future cohorts.</w:t>
      </w:r>
    </w:p>
    <w:p w14:paraId="6165063A" w14:textId="77777777" w:rsidR="00DF21D7" w:rsidRDefault="00000000">
      <w:pPr>
        <w:spacing w:after="120"/>
      </w:pPr>
      <w:r>
        <w:t>A clear post-cohort path: a documented plan for a controlled rollout to existing Fynla users, with the regulatory perimeter for an AI-enabled holistic guidance product agreed (or at least scoped) with the FCA coordinator.</w:t>
      </w:r>
    </w:p>
    <w:p w14:paraId="7BACCABD" w14:textId="77777777" w:rsidR="00DF21D7" w:rsidRDefault="00000000">
      <w:pPr>
        <w:spacing w:after="120"/>
      </w:pPr>
      <w:r>
        <w:t>By Demo Day we will present a working, validated, regulator-aligned AI layer ready to deploy back into Fynla’s production product, with the numbers to support that decision.</w:t>
      </w:r>
    </w:p>
    <w:p w14:paraId="2EEAB58A" w14:textId="77777777" w:rsidR="00DF21D7" w:rsidRDefault="00000000">
      <w:pPr>
        <w:pStyle w:val="Heading1"/>
      </w:pPr>
      <w:r>
        <w:t>6.4 Does your team have the technical and operational capacity to participate fully? (max 250 words)</w:t>
      </w:r>
    </w:p>
    <w:p w14:paraId="7D4332CA" w14:textId="77777777" w:rsidR="00DF21D7" w:rsidRDefault="00000000">
      <w:pPr>
        <w:spacing w:after="120"/>
      </w:pPr>
      <w:r>
        <w:t>Yes. Fynla is a three-founder team with complementary roles, and the cohort scope matches that capacity.</w:t>
      </w:r>
    </w:p>
    <w:p w14:paraId="1600706A" w14:textId="77777777" w:rsidR="00DF21D7" w:rsidRDefault="00000000">
      <w:pPr>
        <w:spacing w:after="120"/>
      </w:pPr>
      <w:r>
        <w:t xml:space="preserve">Chris Slater-Jones leads on domain expertise, the full-stack build, and system design. Chris is Fynla’s financial planner — the source of the domain knowledge encoded in the seven modules and the tax engine — and is also the sole coder, back-end builder, and system architect. The combination is unusual and is what makes a project at Fynla’s scope possible </w:t>
      </w:r>
      <w:r>
        <w:lastRenderedPageBreak/>
        <w:t>from a small team: the same person who specifies the regulatory logic also implements it, removing the usual handoff cost between domain expert and developer. Chris will lead all Sandbox technical work, FCA coordinator engagement, and the Demo Day presentation.</w:t>
      </w:r>
    </w:p>
    <w:p w14:paraId="29E53DE5" w14:textId="77777777" w:rsidR="00DF21D7" w:rsidRDefault="00000000">
      <w:pPr>
        <w:spacing w:after="120"/>
      </w:pPr>
      <w:r>
        <w:t>Az leads on front-end design and owns the look and feel of the production app. During the cohort Az will own the user-facing surfaces of the AI components, so outputs land in product context rather than in a notebook.</w:t>
      </w:r>
    </w:p>
    <w:p w14:paraId="5A84342F" w14:textId="77777777" w:rsidR="00DF21D7" w:rsidRDefault="00000000">
      <w:pPr>
        <w:spacing w:after="120"/>
      </w:pPr>
      <w:r>
        <w:t>Brett leads on quality assurance and owns QA across Fynla. Brett will lead test coverage and acceptance verification for the Sandbox deliverables, including the adversarial probes and the Consumer Duty evaluation.</w:t>
      </w:r>
    </w:p>
    <w:p w14:paraId="1CD2DF8B" w14:textId="77777777" w:rsidR="00DF21D7" w:rsidRDefault="00000000">
      <w:pPr>
        <w:spacing w:after="120"/>
      </w:pPr>
      <w:r>
        <w:t>Six months from concept to a production-ready v1.0 (726 Vue components, 297 PHP services, 109 controllers, 3,300+ automated test assertions, and an iOS app) is concrete evidence of throughput. The cohort plan has been deliberately scoped — one fine-tuned model serving three tracks, bounded monthly deliverables, and an explicit cross-cutting framework — so the workload fits a small, focused team operating at proven velocity.</w:t>
      </w:r>
    </w:p>
    <w:p w14:paraId="60D6A39F" w14:textId="77777777" w:rsidR="00DF21D7" w:rsidRDefault="00000000">
      <w:pPr>
        <w:pStyle w:val="Heading1"/>
      </w:pPr>
      <w:r>
        <w:t>7.3 How would participation in the Sandbox help your organisation progress after the cohort ends?</w:t>
      </w:r>
    </w:p>
    <w:p w14:paraId="254FF995" w14:textId="77777777" w:rsidR="00DF21D7" w:rsidRDefault="00000000">
      <w:pPr>
        <w:spacing w:after="120"/>
      </w:pPr>
      <w:r>
        <w:t>The cohort delivers both immediate next steps and longer-term benefits.</w:t>
      </w:r>
    </w:p>
    <w:p w14:paraId="08269569" w14:textId="77777777" w:rsidR="00DF21D7" w:rsidRDefault="00000000">
      <w:pPr>
        <w:spacing w:after="120"/>
      </w:pPr>
      <w:r>
        <w:t>Immediately, we leave with a validated AI layer ready to ship. The fine-tuned 70B model, the three components (planning copilot, behavioural AI in the recommendation engine, anomaly detection), and the model-risk and explainability framework are all built to deploy back into Fynla’s live product. The Sandbox makes that deployment safe, because without the cohort’s evaluation evidence and FCA-aligned controls a controlled rollout to real users would carry materially more risk and take much longer.</w:t>
      </w:r>
    </w:p>
    <w:p w14:paraId="4B3E8D2C" w14:textId="77777777" w:rsidR="00DF21D7" w:rsidRDefault="00000000">
      <w:pPr>
        <w:spacing w:after="120"/>
      </w:pPr>
      <w:r>
        <w:t>We also leave with a clearer regulatory path. A working relationship with the FCA at development stage (rather than first contact at authorisation), together with a documented view of where the guidance/advice perimeter sits for an AI-enabled holistic guidance product, unblocks roadmap decisions that would otherwise stay speculative for years.</w:t>
      </w:r>
    </w:p>
    <w:p w14:paraId="39BABB62" w14:textId="77777777" w:rsidR="00DF21D7" w:rsidRDefault="00000000">
      <w:pPr>
        <w:spacing w:after="120"/>
      </w:pPr>
      <w:r>
        <w:t>The cohort also builds commercial credibility. Being a Supercharged Sandbox alumnus opens conversations Fynla cannot otherwise reach: investors looking for regulator-engaged AI fintech, partner firms (advisers, lenders, insurers, pension providers) considering embedded AI planning, and policy stakeholders shaping the UK AI-in-finance picture.</w:t>
      </w:r>
    </w:p>
    <w:p w14:paraId="4BB375BE" w14:textId="77777777" w:rsidR="00DF21D7" w:rsidRDefault="00000000">
      <w:pPr>
        <w:spacing w:after="120"/>
      </w:pPr>
      <w:r>
        <w:t>It builds a partnership pipeline. Demo Day exposure to regulated firms creates a natural funnel for the embedded planning use case. The same AI components built during the cohort can either sit behind Fynla’s consumer surface or be licensed to a regulated partner, and both paths become viable rather than hypothetical.</w:t>
      </w:r>
    </w:p>
    <w:p w14:paraId="3EB8DD61" w14:textId="77777777" w:rsidR="00DF21D7" w:rsidRDefault="00000000">
      <w:pPr>
        <w:spacing w:after="120"/>
      </w:pPr>
      <w:r>
        <w:t>Finally, it gives us continued ecosystem engagement. Alumni access, the cohort mentor pool, and Fynla’s published model-risk framework become a continuing platform: future cohorts to mentor, FCA AI working groups to contribute to, and a position that compounds over time rather than ending at Demo Day.</w:t>
      </w:r>
    </w:p>
    <w:p w14:paraId="5511A688" w14:textId="77777777" w:rsidR="00DF21D7" w:rsidRDefault="00000000">
      <w:pPr>
        <w:spacing w:after="120"/>
      </w:pPr>
      <w:r>
        <w:t>In short, the cohort moves Fynla from credible plan to validated execution, with regulatory and commercial paths open at the end.</w:t>
      </w:r>
    </w:p>
    <w:sectPr w:rsidR="00DF21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1E10"/>
    <w:multiLevelType w:val="hybridMultilevel"/>
    <w:tmpl w:val="FE7A3870"/>
    <w:lvl w:ilvl="0" w:tplc="A6BE2FAA">
      <w:start w:val="1"/>
      <w:numFmt w:val="bullet"/>
      <w:lvlText w:val="●"/>
      <w:lvlJc w:val="left"/>
      <w:pPr>
        <w:ind w:left="720" w:hanging="360"/>
      </w:pPr>
    </w:lvl>
    <w:lvl w:ilvl="1" w:tplc="F3F0F466">
      <w:start w:val="1"/>
      <w:numFmt w:val="bullet"/>
      <w:lvlText w:val="○"/>
      <w:lvlJc w:val="left"/>
      <w:pPr>
        <w:ind w:left="1440" w:hanging="360"/>
      </w:pPr>
    </w:lvl>
    <w:lvl w:ilvl="2" w:tplc="AB94D33E">
      <w:start w:val="1"/>
      <w:numFmt w:val="bullet"/>
      <w:lvlText w:val="■"/>
      <w:lvlJc w:val="left"/>
      <w:pPr>
        <w:ind w:left="2160" w:hanging="360"/>
      </w:pPr>
    </w:lvl>
    <w:lvl w:ilvl="3" w:tplc="72687A36">
      <w:start w:val="1"/>
      <w:numFmt w:val="bullet"/>
      <w:lvlText w:val="●"/>
      <w:lvlJc w:val="left"/>
      <w:pPr>
        <w:ind w:left="2880" w:hanging="360"/>
      </w:pPr>
    </w:lvl>
    <w:lvl w:ilvl="4" w:tplc="10C4799C">
      <w:start w:val="1"/>
      <w:numFmt w:val="bullet"/>
      <w:lvlText w:val="○"/>
      <w:lvlJc w:val="left"/>
      <w:pPr>
        <w:ind w:left="3600" w:hanging="360"/>
      </w:pPr>
    </w:lvl>
    <w:lvl w:ilvl="5" w:tplc="F58A74D2">
      <w:start w:val="1"/>
      <w:numFmt w:val="bullet"/>
      <w:lvlText w:val="■"/>
      <w:lvlJc w:val="left"/>
      <w:pPr>
        <w:ind w:left="4320" w:hanging="360"/>
      </w:pPr>
    </w:lvl>
    <w:lvl w:ilvl="6" w:tplc="1DD03EF0">
      <w:start w:val="1"/>
      <w:numFmt w:val="bullet"/>
      <w:lvlText w:val="●"/>
      <w:lvlJc w:val="left"/>
      <w:pPr>
        <w:ind w:left="5040" w:hanging="360"/>
      </w:pPr>
    </w:lvl>
    <w:lvl w:ilvl="7" w:tplc="E99EF80E">
      <w:start w:val="1"/>
      <w:numFmt w:val="bullet"/>
      <w:lvlText w:val="●"/>
      <w:lvlJc w:val="left"/>
      <w:pPr>
        <w:ind w:left="5760" w:hanging="360"/>
      </w:pPr>
    </w:lvl>
    <w:lvl w:ilvl="8" w:tplc="B658F4E2">
      <w:start w:val="1"/>
      <w:numFmt w:val="bullet"/>
      <w:lvlText w:val="●"/>
      <w:lvlJc w:val="left"/>
      <w:pPr>
        <w:ind w:left="6480" w:hanging="360"/>
      </w:pPr>
    </w:lvl>
  </w:abstractNum>
  <w:abstractNum w:abstractNumId="1" w15:restartNumberingAfterBreak="0">
    <w:nsid w:val="449E2341"/>
    <w:multiLevelType w:val="hybridMultilevel"/>
    <w:tmpl w:val="4C4C8750"/>
    <w:lvl w:ilvl="0" w:tplc="907C6716">
      <w:start w:val="1"/>
      <w:numFmt w:val="bullet"/>
      <w:lvlText w:val="•"/>
      <w:lvlJc w:val="left"/>
      <w:pPr>
        <w:ind w:left="720" w:hanging="360"/>
      </w:pPr>
    </w:lvl>
    <w:lvl w:ilvl="1" w:tplc="3746C336">
      <w:numFmt w:val="decimal"/>
      <w:lvlText w:val=""/>
      <w:lvlJc w:val="left"/>
    </w:lvl>
    <w:lvl w:ilvl="2" w:tplc="93BAD55A">
      <w:numFmt w:val="decimal"/>
      <w:lvlText w:val=""/>
      <w:lvlJc w:val="left"/>
    </w:lvl>
    <w:lvl w:ilvl="3" w:tplc="797AC42C">
      <w:numFmt w:val="decimal"/>
      <w:lvlText w:val=""/>
      <w:lvlJc w:val="left"/>
    </w:lvl>
    <w:lvl w:ilvl="4" w:tplc="55E0FC1E">
      <w:numFmt w:val="decimal"/>
      <w:lvlText w:val=""/>
      <w:lvlJc w:val="left"/>
    </w:lvl>
    <w:lvl w:ilvl="5" w:tplc="A53A198E">
      <w:numFmt w:val="decimal"/>
      <w:lvlText w:val=""/>
      <w:lvlJc w:val="left"/>
    </w:lvl>
    <w:lvl w:ilvl="6" w:tplc="DD605B06">
      <w:numFmt w:val="decimal"/>
      <w:lvlText w:val=""/>
      <w:lvlJc w:val="left"/>
    </w:lvl>
    <w:lvl w:ilvl="7" w:tplc="519C24B8">
      <w:numFmt w:val="decimal"/>
      <w:lvlText w:val=""/>
      <w:lvlJc w:val="left"/>
    </w:lvl>
    <w:lvl w:ilvl="8" w:tplc="211EF97E">
      <w:numFmt w:val="decimal"/>
      <w:lvlText w:val=""/>
      <w:lvlJc w:val="left"/>
    </w:lvl>
  </w:abstractNum>
  <w:num w:numId="1" w16cid:durableId="34701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D7"/>
    <w:rsid w:val="003F75DB"/>
    <w:rsid w:val="00513570"/>
    <w:rsid w:val="00DF2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FF95B9"/>
  <w15:docId w15:val="{D492895F-026B-C442-B9DE-A6B5BD32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F"/>
      <w:sz w:val="28"/>
      <w:szCs w:val="28"/>
    </w:rPr>
  </w:style>
  <w:style w:type="paragraph" w:styleId="Heading2">
    <w:name w:val="heading 2"/>
    <w:uiPriority w:val="9"/>
    <w:unhideWhenUsed/>
    <w:qFormat/>
    <w:pPr>
      <w:spacing w:before="200" w:after="8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4458</Words>
  <Characters>25415</Characters>
  <Application>Microsoft Office Word</Application>
  <DocSecurity>0</DocSecurity>
  <Lines>211</Lines>
  <Paragraphs>59</Paragraphs>
  <ScaleCrop>false</ScaleCrop>
  <Company/>
  <LinksUpToDate>false</LinksUpToDate>
  <CharactersWithSpaces>29814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Slater-Jones</cp:lastModifiedBy>
  <cp:revision>2</cp:revision>
  <dcterms:created xsi:type="dcterms:W3CDTF">2026-05-06T08:59:00Z</dcterms:created>
  <dcterms:modified xsi:type="dcterms:W3CDTF">2026-05-06T08:59:00Z</dcterms:modified>
</cp:coreProperties>
</file>