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jc w:val="center"/>
      </w:pPr>
      <w:r>
        <w:rPr>
          <w:b/>
          <w:bCs/>
          <w:color w:val="C8104E"/>
          <w:sz w:val="96"/>
          <w:szCs w:val="96"/>
        </w:rPr>
        <w:t xml:space="preserve">Fynla SA</w:t>
      </w:r>
    </w:p>
    <w:p>
      <w:pPr>
        <w:spacing w:after="240"/>
        <w:jc w:val="center"/>
      </w:pPr>
      <w:r>
        <w:rPr>
          <w:color w:val="1F2A44"/>
          <w:sz w:val="36"/>
          <w:szCs w:val="36"/>
        </w:rPr>
        <w:t xml:space="preserve">South African adaptation of Fynla</w:t>
      </w:r>
    </w:p>
    <w:p>
      <w:pPr>
        <w:spacing w:after="1800"/>
        <w:jc w:val="center"/>
      </w:pPr>
      <w:r>
        <w:rPr>
          <w:i/>
          <w:iCs/>
          <w:color w:val="5A6378"/>
          <w:sz w:val="26"/>
          <w:szCs w:val="26"/>
        </w:rPr>
        <w:t xml:space="preserve">Research &amp; mapping document — v1.1</w:t>
      </w:r>
    </w:p>
    <w:p>
      <w:pPr>
        <w:spacing w:after="120"/>
        <w:jc w:val="center"/>
      </w:pPr>
      <w:r>
        <w:rPr>
          <w:sz w:val="22"/>
          <w:szCs w:val="22"/>
        </w:rPr>
        <w:t xml:space="preserve">Prepared for: Chris Slater-Jones</w:t>
      </w:r>
    </w:p>
    <w:p>
      <w:pPr>
        <w:spacing w:after="120"/>
        <w:jc w:val="center"/>
      </w:pPr>
      <w:r>
        <w:rPr>
          <w:sz w:val="22"/>
          <w:szCs w:val="22"/>
        </w:rPr>
        <w:t xml:space="preserve">Date: 15 April 2026</w:t>
      </w:r>
    </w:p>
    <w:p>
      <w:pPr>
        <w:spacing w:after="120"/>
        <w:jc w:val="center"/>
      </w:pPr>
      <w:r>
        <w:rPr>
          <w:sz w:val="22"/>
          <w:szCs w:val="22"/>
        </w:rPr>
        <w:t xml:space="preserve">Tax year in scope: 2026/27 (1 March 2026 – 28 February 2027)</w:t>
      </w:r>
    </w:p>
    <w:p>
      <w:pPr>
        <w:spacing w:after="120"/>
        <w:jc w:val="center"/>
      </w:pPr>
      <w:r>
        <w:rPr>
          <w:i/>
          <w:iCs/>
          <w:color w:val="5A6378"/>
          <w:sz w:val="20"/>
          <w:szCs w:val="20"/>
        </w:rPr>
        <w:t xml:space="preserve">Companion to: Fynla Multi-Country Architecture (v1.1), Fynla Phase 0 Implementation Guide (v1.0)</w:t>
      </w:r>
    </w:p>
    <w:p>
      <w:r>
        <w:br w:type="page"/>
      </w:r>
    </w:p>
    <w:p>
      <w:pPr>
        <w:pStyle w:val="Heading1"/>
        <w:spacing w:after="160" w:before="280"/>
      </w:pPr>
      <w:r>
        <w:t xml:space="preserve">Change log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000"/>
      </w:tblGrid>
      <w:tr>
        <w:trPr>
          <w:tblHeader/>
        </w:trPr>
        <w:tc>
          <w:tcPr>
            <w:tcW w:type="dxa" w:w="14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Version</w:t>
            </w:r>
          </w:p>
        </w:tc>
        <w:tc>
          <w:tcPr>
            <w:tcW w:type="dxa" w:w="2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Date</w:t>
            </w:r>
          </w:p>
        </w:tc>
        <w:tc>
          <w:tcPr>
            <w:tcW w:type="dxa" w:w="60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Changes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 April 2026</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Initial research &amp; mapping. Assumed a separate fynla-sa fork.</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 April 2026</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Repository strategy superseded. Fynla is now a single codebase (core + country packs via composer path repositories); SA ships as packs/country-za. See §3.2 and the companion Multi-Country Architecture document. Domain mappings and tax content are unchanged.</w:t>
            </w:r>
          </w:p>
        </w:tc>
      </w:tr>
    </w:tbl>
    <w:p>
      <w:r>
        <w:br w:type="page"/>
      </w:r>
    </w:p>
    <w:p>
      <w:pPr>
        <w:pStyle w:val="Heading1"/>
        <w:spacing w:after="160" w:before="280"/>
      </w:pPr>
      <w:r>
        <w:t xml:space="preserve">1. Executive summary</w:t>
      </w:r>
    </w:p>
    <w:p>
      <w:pPr>
        <w:spacing w:after="120"/>
      </w:pPr>
      <w:r>
        <w:t xml:space="preserve">Fynla SA is the South African experience of Fynla, delivered as a country pack (packs/country-za) inside the single Fynla codebase alongside the existing UK pack. It keeps Fynla’s architecture, design language and module structure, but replaces every UK-specific rule, rate and product with its South African equivalent. A user in South Africa sees a pure SA product (no ISA, no SIPP, no IHT) because only the SA pack is mounted for their session. The brief is to cover SARS personal income tax, the two-pot retirement system, exchange control, tax-free savings accounts, offshore investment, estate duty and the FSCA-regulated product set.</w:t>
      </w:r>
    </w:p>
    <w:p>
      <w:pPr>
        <w:spacing w:after="120"/>
      </w:pPr>
      <w:r>
        <w:t xml:space="preserve">Note: v1.0 of this document assumed Fynla SA would be a forked standalone repository. That assumption has been superseded by the Multi-Country Architecture decision — see §3.2 below and the companion architecture document. The tax, retirement, investment, protection and estate content in this document is unchanged and remains the source of truth for SA domain logic.</w:t>
      </w:r>
    </w:p>
    <w:p>
      <w:pPr>
        <w:spacing w:after="120"/>
      </w:pPr>
      <w:r>
        <w:t xml:space="preserve">The work naturally splits into six streams:</w:t>
      </w:r>
    </w:p>
    <w:p>
      <w:pPr>
        <w:pStyle w:val="ListParagraph"/>
        <w:numPr>
          <w:ilvl w:val="0"/>
          <w:numId w:val="2"/>
        </w:numPr>
        <w:spacing w:after="80"/>
      </w:pPr>
      <w:r>
        <w:t xml:space="preserve">A new Tax Engine built around the 2026/27 SARS tables, rebates, Section 11F retirement deduction, Section 10C tax-free annuity rollover, CGT at 40% inclusion, dividends withholding tax, interest exemption and retirement lump sum tables.</w:t>
      </w:r>
    </w:p>
    <w:p>
      <w:pPr>
        <w:pStyle w:val="ListParagraph"/>
        <w:numPr>
          <w:ilvl w:val="0"/>
          <w:numId w:val="2"/>
        </w:numPr>
        <w:spacing w:after="80"/>
      </w:pPr>
      <w:r>
        <w:t xml:space="preserve">A new Retirement domain covering Retirement Annuities, Pension Funds, Provident Funds, Preservation Funds, the Two-Pot System (savings / retirement / vested components), Regulation 28 asset class limits, and Living vs Life annuities with the 2.5%–17.5% drawdown band.</w:t>
      </w:r>
    </w:p>
    <w:p>
      <w:pPr>
        <w:pStyle w:val="ListParagraph"/>
        <w:numPr>
          <w:ilvl w:val="0"/>
          <w:numId w:val="2"/>
        </w:numPr>
        <w:spacing w:after="80"/>
      </w:pPr>
      <w:r>
        <w:t xml:space="preserve">A new Exchange Control module tracking the R2m Single Discretionary Allowance (SDA) and R10m Foreign Investment Allowance (FIA) per calendar year, with tax clearance workflow for amounts over the SDA.</w:t>
      </w:r>
    </w:p>
    <w:p>
      <w:pPr>
        <w:pStyle w:val="ListParagraph"/>
        <w:numPr>
          <w:ilvl w:val="0"/>
          <w:numId w:val="2"/>
        </w:numPr>
        <w:spacing w:after="80"/>
      </w:pPr>
      <w:r>
        <w:t xml:space="preserve">A reworked Investment module with a Tax-Free Savings Account (annual R46,000 from 1 March 2026, lifetime R500,000), discretionary unit trusts/ETFs, endowments (section 29A), and offshore portfolios.</w:t>
      </w:r>
    </w:p>
    <w:p>
      <w:pPr>
        <w:pStyle w:val="ListParagraph"/>
        <w:numPr>
          <w:ilvl w:val="0"/>
          <w:numId w:val="2"/>
        </w:numPr>
        <w:spacing w:after="80"/>
      </w:pPr>
      <w:r>
        <w:t xml:space="preserve">A simplified Protection module focused on life, disability (lump-sum and income), dread disease, and funeral cover — replacing the UK whole-of-life/term/critical illness framing.</w:t>
      </w:r>
    </w:p>
    <w:p>
      <w:pPr>
        <w:pStyle w:val="ListParagraph"/>
        <w:numPr>
          <w:ilvl w:val="0"/>
          <w:numId w:val="2"/>
        </w:numPr>
        <w:spacing w:after="80"/>
      </w:pPr>
      <w:r>
        <w:t xml:space="preserve">A reworked Estate Planning module using estate duty (20% / 25% with R3.5m abatement and spousal roll-over), donations tax, CGT on death, and executor / Master’s fees.</w:t>
      </w:r>
    </w:p>
    <w:p>
      <w:pPr>
        <w:spacing w:after="120"/>
      </w:pPr>
      <w:r>
        <w:t xml:space="preserve">This document is the domain-content foundation for the SA pack. It is deliberately exhaustive so that when the country-za pack is scaffolded (Phase 2 of the programme), we know exactly which constants, services, controllers, Vuex stores and Vue components need to be written. Where earlier drafts referred to ‘forking UK code’, the intent is instead ‘mirror the UK pack’s domain shapes inside the SA pack’, with the core unchanged.</w:t>
      </w:r>
    </w:p>
    <w:p>
      <w:r>
        <w:br w:type="page"/>
      </w:r>
    </w:p>
    <w:p>
      <w:pPr>
        <w:pStyle w:val="Heading1"/>
        <w:spacing w:after="160" w:before="280"/>
      </w:pPr>
      <w:r>
        <w:t xml:space="preserve">2. Contents</w:t>
      </w:r>
    </w:p>
    <w:p>
      <w:pPr>
        <w:spacing w:after="60"/>
      </w:pPr>
      <w:r>
        <w:rPr>
          <w:sz w:val="22"/>
          <w:szCs w:val="22"/>
        </w:rPr>
        <w:t xml:space="preserve">1. Executive summary</w:t>
      </w:r>
    </w:p>
    <w:p>
      <w:pPr>
        <w:spacing w:after="60"/>
      </w:pPr>
      <w:r>
        <w:rPr>
          <w:sz w:val="22"/>
          <w:szCs w:val="22"/>
        </w:rPr>
        <w:t xml:space="preserve">2. Contents</w:t>
      </w:r>
    </w:p>
    <w:p>
      <w:pPr>
        <w:spacing w:after="60"/>
      </w:pPr>
      <w:r>
        <w:rPr>
          <w:sz w:val="22"/>
          <w:szCs w:val="22"/>
        </w:rPr>
        <w:t xml:space="preserve">3. Programme scope &amp; product positioning</w:t>
      </w:r>
    </w:p>
    <w:p>
      <w:pPr>
        <w:spacing w:after="60"/>
      </w:pPr>
      <w:r>
        <w:rPr>
          <w:sz w:val="22"/>
          <w:szCs w:val="22"/>
        </w:rPr>
        <w:t xml:space="preserve">4. Regulatory landscape (SARS, FSCA, SARB, Pension Funds Act, FICA, POPIA)</w:t>
      </w:r>
    </w:p>
    <w:p>
      <w:pPr>
        <w:spacing w:after="60"/>
      </w:pPr>
      <w:r>
        <w:rPr>
          <w:sz w:val="22"/>
          <w:szCs w:val="22"/>
        </w:rPr>
        <w:t xml:space="preserve">5. Tax engine — SA 2026/27 rules</w:t>
      </w:r>
    </w:p>
    <w:p>
      <w:pPr>
        <w:spacing w:after="60"/>
      </w:pPr>
      <w:r>
        <w:rPr>
          <w:sz w:val="22"/>
          <w:szCs w:val="22"/>
        </w:rPr>
        <w:t xml:space="preserve">6. Module mapping: Protection</w:t>
      </w:r>
    </w:p>
    <w:p>
      <w:pPr>
        <w:spacing w:after="60"/>
      </w:pPr>
      <w:r>
        <w:rPr>
          <w:sz w:val="22"/>
          <w:szCs w:val="22"/>
        </w:rPr>
        <w:t xml:space="preserve">7. Module mapping: Savings &amp; Tax-Free Savings Account</w:t>
      </w:r>
    </w:p>
    <w:p>
      <w:pPr>
        <w:spacing w:after="60"/>
      </w:pPr>
      <w:r>
        <w:rPr>
          <w:sz w:val="22"/>
          <w:szCs w:val="22"/>
        </w:rPr>
        <w:t xml:space="preserve">8. Module mapping: Investment (incl. Exchange Control &amp; offshore)</w:t>
      </w:r>
    </w:p>
    <w:p>
      <w:pPr>
        <w:spacing w:after="60"/>
      </w:pPr>
      <w:r>
        <w:rPr>
          <w:sz w:val="22"/>
          <w:szCs w:val="22"/>
        </w:rPr>
        <w:t xml:space="preserve">9. Module mapping: Retirement (RA / PF / PvF / Preservation / Two-Pot / Reg 28 / Annuities)</w:t>
      </w:r>
    </w:p>
    <w:p>
      <w:pPr>
        <w:spacing w:after="60"/>
      </w:pPr>
      <w:r>
        <w:rPr>
          <w:sz w:val="22"/>
          <w:szCs w:val="22"/>
        </w:rPr>
        <w:t xml:space="preserve">10. Module mapping: Estate Planning (Estate Duty, Donations Tax, CGT on death)</w:t>
      </w:r>
    </w:p>
    <w:p>
      <w:pPr>
        <w:spacing w:after="60"/>
      </w:pPr>
      <w:r>
        <w:rPr>
          <w:sz w:val="22"/>
          <w:szCs w:val="22"/>
        </w:rPr>
        <w:t xml:space="preserve">11. Module mapping: Goals &amp; Life Events</w:t>
      </w:r>
    </w:p>
    <w:p>
      <w:pPr>
        <w:spacing w:after="60"/>
      </w:pPr>
      <w:r>
        <w:rPr>
          <w:sz w:val="22"/>
          <w:szCs w:val="22"/>
        </w:rPr>
        <w:t xml:space="preserve">12. Module mapping: Coordination (cross-domain aggregation)</w:t>
      </w:r>
    </w:p>
    <w:p>
      <w:pPr>
        <w:spacing w:after="60"/>
      </w:pPr>
      <w:r>
        <w:rPr>
          <w:sz w:val="22"/>
          <w:szCs w:val="22"/>
        </w:rPr>
        <w:t xml:space="preserve">13. New SA-only modules (Two-Pot Tracker, Exchange Control Ledger, Reg 28 Monitor)</w:t>
      </w:r>
    </w:p>
    <w:p>
      <w:pPr>
        <w:spacing w:after="60"/>
      </w:pPr>
      <w:r>
        <w:rPr>
          <w:sz w:val="22"/>
          <w:szCs w:val="22"/>
        </w:rPr>
        <w:t xml:space="preserve">14. Technical architecture — what changes, what stays</w:t>
      </w:r>
    </w:p>
    <w:p>
      <w:pPr>
        <w:spacing w:after="60"/>
      </w:pPr>
      <w:r>
        <w:rPr>
          <w:sz w:val="22"/>
          <w:szCs w:val="22"/>
        </w:rPr>
        <w:t xml:space="preserve">15. Code-level impact inventory (services, controllers, stores, components, seeders)</w:t>
      </w:r>
    </w:p>
    <w:p>
      <w:pPr>
        <w:spacing w:after="60"/>
      </w:pPr>
      <w:r>
        <w:rPr>
          <w:sz w:val="22"/>
          <w:szCs w:val="22"/>
        </w:rPr>
        <w:t xml:space="preserve">16. Data model &amp; database migrations</w:t>
      </w:r>
    </w:p>
    <w:p>
      <w:pPr>
        <w:spacing w:after="60"/>
      </w:pPr>
      <w:r>
        <w:rPr>
          <w:sz w:val="22"/>
          <w:szCs w:val="22"/>
        </w:rPr>
        <w:t xml:space="preserve">17. Localisation: currency, date, language, persona set</w:t>
      </w:r>
    </w:p>
    <w:p>
      <w:pPr>
        <w:spacing w:after="60"/>
      </w:pPr>
      <w:r>
        <w:rPr>
          <w:sz w:val="22"/>
          <w:szCs w:val="22"/>
        </w:rPr>
        <w:t xml:space="preserve">18. Compliance, disclosure &amp; FAIS considerations</w:t>
      </w:r>
    </w:p>
    <w:p>
      <w:pPr>
        <w:spacing w:after="60"/>
      </w:pPr>
      <w:r>
        <w:rPr>
          <w:sz w:val="22"/>
          <w:szCs w:val="22"/>
        </w:rPr>
        <w:t xml:space="preserve">19. Phased delivery plan</w:t>
      </w:r>
    </w:p>
    <w:p>
      <w:pPr>
        <w:spacing w:after="60"/>
      </w:pPr>
      <w:r>
        <w:rPr>
          <w:sz w:val="22"/>
          <w:szCs w:val="22"/>
        </w:rPr>
        <w:t xml:space="preserve">20. Risks, open questions &amp; out of scope</w:t>
      </w:r>
    </w:p>
    <w:p>
      <w:pPr>
        <w:spacing w:after="60"/>
      </w:pPr>
      <w:r>
        <w:rPr>
          <w:sz w:val="22"/>
          <w:szCs w:val="22"/>
        </w:rPr>
        <w:t xml:space="preserve">21. Appendix A — SARS tax tables 2026/27</w:t>
      </w:r>
    </w:p>
    <w:p>
      <w:pPr>
        <w:spacing w:after="60"/>
      </w:pPr>
      <w:r>
        <w:rPr>
          <w:sz w:val="22"/>
          <w:szCs w:val="22"/>
        </w:rPr>
        <w:t xml:space="preserve">22. Appendix B — Retirement lump-sum tax tables</w:t>
      </w:r>
    </w:p>
    <w:p>
      <w:pPr>
        <w:spacing w:after="60"/>
      </w:pPr>
      <w:r>
        <w:rPr>
          <w:sz w:val="22"/>
          <w:szCs w:val="22"/>
        </w:rPr>
        <w:t xml:space="preserve">23. Appendix C — Exchange control allowances</w:t>
      </w:r>
    </w:p>
    <w:p>
      <w:pPr>
        <w:spacing w:after="60"/>
      </w:pPr>
      <w:r>
        <w:rPr>
          <w:sz w:val="22"/>
          <w:szCs w:val="22"/>
        </w:rPr>
        <w:t xml:space="preserve">24. Appendix D — Glossary UK ↔ SA</w:t>
      </w:r>
    </w:p>
    <w:p>
      <w:pPr>
        <w:spacing w:after="60"/>
      </w:pPr>
      <w:r>
        <w:rPr>
          <w:sz w:val="22"/>
          <w:szCs w:val="22"/>
        </w:rPr>
        <w:t xml:space="preserve">25. Appendix E — Sources</w:t>
      </w:r>
    </w:p>
    <w:p>
      <w:r>
        <w:br w:type="page"/>
      </w:r>
    </w:p>
    <w:p>
      <w:pPr>
        <w:pStyle w:val="Heading1"/>
        <w:spacing w:after="160" w:before="280"/>
      </w:pPr>
      <w:r>
        <w:t xml:space="preserve">3. Programme scope &amp; product positioning</w:t>
      </w:r>
    </w:p>
    <w:p>
      <w:pPr>
        <w:pStyle w:val="Heading2"/>
        <w:spacing w:after="160" w:before="280"/>
      </w:pPr>
      <w:r>
        <w:t xml:space="preserve">3.1 Product name and brand</w:t>
      </w:r>
    </w:p>
    <w:p>
      <w:pPr>
        <w:spacing w:after="120"/>
      </w:pPr>
      <w:r>
        <w:t xml:space="preserve">Working name: Fynla SA (also ‘Fynla ZA’). The brand keeps the Fynla mark, design system (raspberry primary / horizon navy / spring green / violet warning / savannah hover) and tone of voice. The ‘.org’ suffix is reserved for the UK instance; production is expected to live at a dedicated .co.za domain (e.g. fynla.co.za) with the UK instance remaining at fynla.org. The mobile Capacitor iOS app becomes a second bundle identifier — they are independent apps on the App Store, not a regional variant of a single app.</w:t>
      </w:r>
    </w:p>
    <w:p>
      <w:pPr>
        <w:pStyle w:val="Heading2"/>
        <w:spacing w:after="160" w:before="280"/>
      </w:pPr>
      <w:r>
        <w:t xml:space="preserve">3.2 Repository strategy (superseded — see Multi-Country Architecture v1.1)</w:t>
      </w:r>
    </w:p>
    <w:p>
      <w:pPr>
        <w:spacing w:after="120"/>
      </w:pPr>
      <w:r>
        <w:t xml:space="preserve">Updated in v1.1. South Africa is not a separate repository. Fynla is now a single codebase factored into a country-agnostic core and country-specific packs loaded via composer path repositories. The existing UK logic is repackaged (Phase 0) into packs/country-gb. South Africa is added (Phase 2) as packs/country-za. A future cross-border pack (Phase 3) handles dual-jurisdiction users.</w:t>
      </w:r>
    </w:p>
    <w:p>
      <w:pPr>
        <w:spacing w:after="120"/>
      </w:pPr>
      <w:r>
        <w:t xml:space="preserve">Practical consequences for this document:</w:t>
      </w:r>
    </w:p>
    <w:p>
      <w:pPr>
        <w:pStyle w:val="ListParagraph"/>
        <w:numPr>
          <w:ilvl w:val="0"/>
          <w:numId w:val="2"/>
        </w:numPr>
        <w:spacing w:after="80"/>
      </w:pPr>
      <w:r>
        <w:t xml:space="preserve">Every ‘fork’, ‘copy’ or ‘duplicate codebase’ mention in later sections should be read as ‘mirror the UK pack inside packs/country-za’. The target namespace is Fynla\Packs\ZA; tables are prefixed za_; routes are under /api/za/*.</w:t>
      </w:r>
    </w:p>
    <w:p>
      <w:pPr>
        <w:pStyle w:val="ListParagraph"/>
        <w:numPr>
          <w:ilvl w:val="0"/>
          <w:numId w:val="2"/>
        </w:numPr>
        <w:spacing w:after="80"/>
      </w:pPr>
      <w:r>
        <w:t xml:space="preserve">The SA pack implements the same Core contracts as the UK pack (TaxEngine, RetirementEngine, InvestmentEngine, ProtectionEngine, EstateEngine, ExchangeControl, IdentityValidator, Localisation, BankingValidator). The UK pack’s ExchangeControl is a no-op; SA’s is live.</w:t>
      </w:r>
    </w:p>
    <w:p>
      <w:pPr>
        <w:pStyle w:val="ListParagraph"/>
        <w:numPr>
          <w:ilvl w:val="0"/>
          <w:numId w:val="2"/>
        </w:numPr>
        <w:spacing w:after="80"/>
      </w:pPr>
      <w:r>
        <w:t xml:space="preserve">Shared primitives (auth, household, goals, design system, layout, Capacitor shell, billing) stay in core and are not duplicated. This reverses the v1.0 trade-off that accepted duplicated generic work.</w:t>
      </w:r>
    </w:p>
    <w:p>
      <w:pPr>
        <w:pStyle w:val="ListParagraph"/>
        <w:numPr>
          <w:ilvl w:val="0"/>
          <w:numId w:val="2"/>
        </w:numPr>
        <w:spacing w:after="80"/>
      </w:pPr>
      <w:r>
        <w:t xml:space="preserve">Isolation is enforced by Pest architecture tests: no file in packs/country-za may import Fynla\Packs\GB, and no file in core may import Fynla\Packs\*.</w:t>
      </w:r>
    </w:p>
    <w:p>
      <w:pPr>
        <w:pStyle w:val="ListParagraph"/>
        <w:numPr>
          <w:ilvl w:val="0"/>
          <w:numId w:val="2"/>
        </w:numPr>
        <w:spacing w:after="80"/>
      </w:pPr>
      <w:r>
        <w:t xml:space="preserve">A SA-only user (no UK jurisdiction on their profile) sees only the SA pack. No UK modules, currencies, or disclaimers leak into their session. The ‘pure SA product’ commitment in §3 of the architecture document is the governing rule.</w:t>
      </w:r>
    </w:p>
    <w:p>
      <w:pPr>
        <w:spacing w:after="120"/>
      </w:pPr>
      <w:r>
        <w:t xml:space="preserve">The single-jurisdiction product surface described throughout this document — ZAR currency, 1 March tax year, SARS / FSCA / SARB terminology, FAIS disclaimers — is exactly what a SA-only user receives. The mechanism for delivering it changed in v1.1; the product promise did not.</w:t>
      </w:r>
    </w:p>
    <w:p>
      <w:pPr>
        <w:pStyle w:val="Heading2"/>
        <w:spacing w:after="160" w:before="280"/>
      </w:pPr>
      <w:r>
        <w:t xml:space="preserve">3.3 Launch modules</w:t>
      </w:r>
    </w:p>
    <w:p>
      <w:pPr>
        <w:spacing w:after="120"/>
      </w:pPr>
      <w:r>
        <w:t xml:space="preserve">v1 scope (user-confirmed):</w:t>
      </w:r>
    </w:p>
    <w:p>
      <w:pPr>
        <w:pStyle w:val="ListParagraph"/>
        <w:numPr>
          <w:ilvl w:val="0"/>
          <w:numId w:val="2"/>
        </w:numPr>
        <w:spacing w:after="80"/>
      </w:pPr>
      <w:r>
        <w:t xml:space="preserve">Protection — life, disability (lump sum + income), dread disease, funeral cover</w:t>
      </w:r>
    </w:p>
    <w:p>
      <w:pPr>
        <w:pStyle w:val="ListParagraph"/>
        <w:numPr>
          <w:ilvl w:val="0"/>
          <w:numId w:val="2"/>
        </w:numPr>
        <w:spacing w:after="80"/>
      </w:pPr>
      <w:r>
        <w:t xml:space="preserve">Savings — emergency fund, fixed deposits, notice deposits, money market, Tax-Free Savings Account</w:t>
      </w:r>
    </w:p>
    <w:p>
      <w:pPr>
        <w:pStyle w:val="ListParagraph"/>
        <w:numPr>
          <w:ilvl w:val="0"/>
          <w:numId w:val="2"/>
        </w:numPr>
        <w:spacing w:after="80"/>
      </w:pPr>
      <w:r>
        <w:t xml:space="preserve">Investment — discretionary unit trusts / ETFs, endowments, offshore (SDA / FIA) with CGT tracking</w:t>
      </w:r>
    </w:p>
    <w:p>
      <w:pPr>
        <w:pStyle w:val="ListParagraph"/>
        <w:numPr>
          <w:ilvl w:val="0"/>
          <w:numId w:val="2"/>
        </w:numPr>
        <w:spacing w:after="80"/>
      </w:pPr>
      <w:r>
        <w:t xml:space="preserve">Retirement — Retirement Annuity, Pension Fund, Provident Fund, Preservation Fund, Living Annuity, Life Annuity, Two-Pot balances</w:t>
      </w:r>
    </w:p>
    <w:p>
      <w:pPr>
        <w:spacing w:after="120"/>
      </w:pPr>
      <w:r>
        <w:t xml:space="preserve">Dependent-but-essential modules added to v1 because they are structurally required:</w:t>
      </w:r>
    </w:p>
    <w:p>
      <w:pPr>
        <w:pStyle w:val="ListParagraph"/>
        <w:numPr>
          <w:ilvl w:val="0"/>
          <w:numId w:val="2"/>
        </w:numPr>
        <w:spacing w:after="80"/>
      </w:pPr>
      <w:r>
        <w:t xml:space="preserve">Tax Engine — without it none of the other modules produce meaningful numbers</w:t>
      </w:r>
    </w:p>
    <w:p>
      <w:pPr>
        <w:pStyle w:val="ListParagraph"/>
        <w:numPr>
          <w:ilvl w:val="0"/>
          <w:numId w:val="2"/>
        </w:numPr>
        <w:spacing w:after="80"/>
      </w:pPr>
      <w:r>
        <w:t xml:space="preserve">Estate Planning — estate duty sits on top of every asset in the system; it cannot be deferred</w:t>
      </w:r>
    </w:p>
    <w:p>
      <w:pPr>
        <w:pStyle w:val="ListParagraph"/>
        <w:numPr>
          <w:ilvl w:val="0"/>
          <w:numId w:val="2"/>
        </w:numPr>
        <w:spacing w:after="80"/>
      </w:pPr>
      <w:r>
        <w:t xml:space="preserve">Goals &amp; Life Events — re-used largely as-is (retirement date, home purchase, education funding)</w:t>
      </w:r>
    </w:p>
    <w:p>
      <w:pPr>
        <w:pStyle w:val="ListParagraph"/>
        <w:numPr>
          <w:ilvl w:val="0"/>
          <w:numId w:val="2"/>
        </w:numPr>
        <w:spacing w:after="80"/>
      </w:pPr>
      <w:r>
        <w:t xml:space="preserve">Coordination — the cross-domain aggregation agent that powers the dashboard</w:t>
      </w:r>
    </w:p>
    <w:p>
      <w:pPr>
        <w:pStyle w:val="Heading2"/>
        <w:spacing w:after="160" w:before="280"/>
      </w:pPr>
      <w:r>
        <w:t xml:space="preserve">3.4 Target personas (to be seeded)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tblHeader/>
        </w:trPr>
        <w:tc>
          <w:tcPr>
            <w:tcW w:type="dxa" w:w="21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Persona</w:t>
            </w:r>
          </w:p>
        </w:tc>
        <w:tc>
          <w:tcPr>
            <w:tcW w:type="dxa" w:w="39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Profile</w:t>
            </w:r>
          </w:p>
        </w:tc>
        <w:tc>
          <w:tcPr>
            <w:tcW w:type="dxa" w:w="33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Focus modules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Young professional</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Single, 28, R480k salary, first TFSA, SIPP equivalent (RA)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Savings, TFSA, RA, Protection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Young family</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Couple, 35, children, bond, employer Pension Fund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Protection, Retirement, Goals (education)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Peak earners</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Couple, 48, multiple properties, RA + discretionary + offshore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Investment, Retirement, Estate, Exchange Control</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Pre-retiree</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Age 58, preservation fund, living annuity planning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Retirement, Living Annuity, Estate</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Retiree (decumulation)</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Age 68, living annuity + life annuity split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Retirement, Estate</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Expat / financial emigrant</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Tax resident elsewhere, SA-sourced RA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Exchange Control, Retirement, Estate</w:t>
            </w:r>
          </w:p>
        </w:tc>
      </w:tr>
    </w:tbl>
    <w:p>
      <w:r>
        <w:br w:type="page"/>
      </w:r>
    </w:p>
    <w:p>
      <w:pPr>
        <w:pStyle w:val="Heading1"/>
        <w:spacing w:after="160" w:before="280"/>
      </w:pPr>
      <w:r>
        <w:t xml:space="preserve">4. Regulatory landscape</w:t>
      </w:r>
    </w:p>
    <w:p>
      <w:pPr>
        <w:spacing w:after="120"/>
      </w:pPr>
      <w:r>
        <w:t xml:space="preserve">Fynla SA sits inside a regulatory stack that is materially different from the UK. The following bodies and statutes directly shape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Body / statute</w:t>
            </w:r>
          </w:p>
        </w:tc>
        <w:tc>
          <w:tcPr>
            <w:tcW w:type="dxa" w:w="3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Scope</w:t>
            </w:r>
          </w:p>
        </w:tc>
        <w:tc>
          <w:tcPr>
            <w:tcW w:type="dxa" w:w="25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Impact on Fynla SA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SARS (South African Revenue Service)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Personal and corporate tax, CGT, dividends tax, estate duty, donations tax, retirement fund deductions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Source of every rate in the Tax Engine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National Treasury</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Annual Budget (tabled in February), Taxation Laws Amendment Act</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Drives annual refresh of tax tables and allowances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FSCA (Financial Sector Conduct Authority)</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Market conduct for banks, insurers, retirement funds, CIS, advisers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Disclosure rules, FAIS compliance if Fynla ever offers advice vs guidance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SARB (South African Reserve Bank)</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Exchange control (FinSurv), prudential regulation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SDA / FIA limits, tax clearance process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Pension Funds Act, 1956 (incl. Reg 28)</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Retirement funds regulation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Regulation 28 asset-class limits, two-pot rules, preservation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Long-term Insurance Act / Insurance Act 18 of 2017</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Life, disability, dread, funeral, endowments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Protection module product catalogue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Collective Investment Schemes Control Act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 trusts, ETFs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Investment module product catalogue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Income Tax Act 58 of 1962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Core tax statute (Sections 11F, 10C, 10(1)(i), Eighth Schedule)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Tax Engine formulas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FICA (Financial Intelligence Centre Act)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KYC, AML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On-boarding flow, document upload UI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POPIA (Protection of Personal Information Act)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protection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Privacy notices, data export, retention policy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FAIS Act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Financial advisers and intermediaries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Licensing question: Fynla SA is information / planning, not advice; disclaimers must be explicit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Conduct of Financial Institutions (COFI) Bill</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Emerging — replaces parts of the conduct regime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Watch-item; no immediate code change but monitor</w:t>
            </w:r>
          </w:p>
        </w:tc>
      </w:tr>
    </w:tbl>
    <w:p>
      <w:pPr>
        <w:spacing w:after="120"/>
      </w:pPr>
      <w:r>
        <w:t xml:space="preserve">Key product-level implication: Fynla SA must display a prominent disclaimer that it provides information and planning tools, not FSCA-licensed financial advice. All calculations should state the underlying assumptions and rate year. This wording should live in a new GuidanceDisclaimer.vue component consumed by every module landing page.</w:t>
      </w:r>
    </w:p>
    <w:p>
      <w:r>
        <w:br w:type="page"/>
      </w:r>
    </w:p>
    <w:p>
      <w:pPr>
        <w:pStyle w:val="Heading1"/>
        <w:spacing w:after="160" w:before="280"/>
      </w:pPr>
      <w:r>
        <w:t xml:space="preserve">5. Tax engine — SA 2026/27 rules</w:t>
      </w:r>
    </w:p>
    <w:p>
      <w:pPr>
        <w:spacing w:after="120"/>
      </w:pPr>
      <w:r>
        <w:t xml:space="preserve">The UK Tax Engine (TaxConfigService, TaxDefaults constant, TaxConfigurationSeeder) is ripped out and rebuilt for SA. Every hardcoded UK value — 40% IHT, £325k NRB, £20k ISA, £60k pension AA — disappears.</w:t>
      </w:r>
    </w:p>
    <w:p>
      <w:pPr>
        <w:pStyle w:val="Heading2"/>
        <w:spacing w:after="160" w:before="280"/>
      </w:pPr>
      <w:r>
        <w:t xml:space="preserve">5.1 SARS personal income tax — 2026/27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Taxable income (R)</w:t>
            </w:r>
          </w:p>
        </w:tc>
        <w:tc>
          <w:tcPr>
            <w:tcW w:type="dxa" w:w="41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Rate</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 245,100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 of each R1</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245,101 – 383,100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R44,118 + 26% of amount above R245,100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383,101 – 530,200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R79,998 + 31% of amount above R383,100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530,201 – 695,800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R125,599 + 36% of amount above R530,200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695,801 – 887,000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R185,215 + 39% of amount above R695,800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887,001 – 1,878,600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R259,783 + 41% of amount above R887,000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1,878,601 and above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R666,339 + 45% of amount above R1,878,600</w:t>
            </w:r>
          </w:p>
        </w:tc>
      </w:tr>
    </w:tbl>
    <w:p>
      <w:pPr>
        <w:pStyle w:val="Heading2"/>
        <w:spacing w:after="160" w:before="280"/>
      </w:pPr>
      <w:r>
        <w:t xml:space="preserve">5.2 Rebates and tax thresholds — 2026/27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Item</w:t>
            </w:r>
          </w:p>
        </w:tc>
        <w:tc>
          <w:tcPr>
            <w:tcW w:type="dxa" w:w="192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Under 65</w:t>
            </w:r>
          </w:p>
        </w:tc>
        <w:tc>
          <w:tcPr>
            <w:tcW w:type="dxa" w:w="192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65 – 75</w:t>
            </w:r>
          </w:p>
        </w:tc>
        <w:tc>
          <w:tcPr>
            <w:tcW w:type="dxa" w:w="192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75+</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Tax threshold (tax-free income)</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R99,000</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R148,217</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R165,689</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Primary rebate (implied)</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R17,820</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R17,820</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R17,820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Secondary rebate (65+)</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Applies</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Applies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Tertiary rebate (75+)</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Applies</w:t>
            </w:r>
          </w:p>
        </w:tc>
      </w:tr>
    </w:tbl>
    <w:p>
      <w:pPr>
        <w:spacing w:after="120"/>
      </w:pPr>
      <w:r>
        <w:t xml:space="preserve">Notes: the published tax thresholds are derived from rebates. Fynla SA should store rebates as the source of truth and derive thresholds, mirroring the SARS tables. The 2026/27 bracket fiscal drag adjustment was ~3.4%.</w:t>
      </w:r>
    </w:p>
    <w:p>
      <w:pPr>
        <w:pStyle w:val="Heading2"/>
        <w:spacing w:after="160" w:before="280"/>
      </w:pPr>
      <w:r>
        <w:t xml:space="preserve">5.3 Other key taxes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Tax</w:t>
            </w:r>
          </w:p>
        </w:tc>
        <w:tc>
          <w:tcPr>
            <w:tcW w:type="dxa" w:w="46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2026/27 value / rule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Interest exemption (under 65)</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R23,800 p.a.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Interest exemption (65+)</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R34,500 p.a.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Dividends withholding tax (DWT)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 on local dividends to SA residents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Foreign dividends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Effective 20% (via Section 10B partial exemption — 25/45 of gross)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Interest WHT (non-residents)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 (outside scope for SA-resident users)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Capital gains tax inclusion rate (individuals)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 (effective top rate ~18%)</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Annual CGT exclusion (individuals)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R40,000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CGT primary residence exclusion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R2,000,000 on disposal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CGT exclusion on death</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R300,000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Medical tax credit — main + first dependant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R376 per month each</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Medical tax credit — additional dependants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R254 per month each</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11F retirement deduction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27.5% of greater of remuneration or taxable income, capped R350,000 p.a.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10C tax-free annuity rollover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Applies to non-deductible retirement contributions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UIF contribution (employer + employee)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total (1% + 1%), capped at R177.12/month each</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SDL (employer only)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of payroll (skills development levy)</w:t>
            </w:r>
          </w:p>
        </w:tc>
      </w:tr>
    </w:tbl>
    <w:p>
      <w:pPr>
        <w:pStyle w:val="Heading2"/>
        <w:spacing w:after="160" w:before="280"/>
      </w:pPr>
      <w:r>
        <w:t xml:space="preserve">5.4 Retirement lump sum tables — recap</w:t>
      </w:r>
    </w:p>
    <w:p>
      <w:pPr>
        <w:spacing w:after="120"/>
      </w:pPr>
      <w:r>
        <w:t xml:space="preserve">Retirement lump sum (on retirement, cumulative across post-2007 withdrawals):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Lump sum (R)</w:t>
            </w:r>
          </w:p>
        </w:tc>
        <w:tc>
          <w:tcPr>
            <w:tcW w:type="dxa" w:w="41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Tax</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 – 550,000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550,001 – 770,000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 of amount above R550,000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770,001 – 1,155,000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R39,600 + 27% of amount above R770,000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1,155,001 and above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R143,550 + 36% of amount above R1,155,000</w:t>
            </w:r>
          </w:p>
        </w:tc>
      </w:tr>
    </w:tbl>
    <w:p>
      <w:pPr>
        <w:spacing w:after="120"/>
      </w:pPr>
      <w:r>
        <w:t xml:space="preserve">Withdrawal lump sum (pre-retirement withdrawal, resignation, divorce, and savings-pot withdrawals above de minimis):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Withdrawal (R)</w:t>
            </w:r>
          </w:p>
        </w:tc>
        <w:tc>
          <w:tcPr>
            <w:tcW w:type="dxa" w:w="41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Tax</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 – 27,500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27,501 – 726,000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 of amount above R27,500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726,001 – 1,089,000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R125,730 + 27% of amount above R726,000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1,089,001 and above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R223,740 + 36% of amount above R1,089,000</w:t>
            </w:r>
          </w:p>
        </w:tc>
      </w:tr>
    </w:tbl>
    <w:p>
      <w:pPr>
        <w:spacing w:after="120"/>
      </w:pPr>
      <w:r>
        <w:t xml:space="preserve">Important: a Savings Pot withdrawal (under the Two-Pot system) is NOT taxed on the withdrawal table — it is added to the member’s taxable income in that tax year and taxed at their marginal rate. This is one of the most common misconceptions in the market and a mandatory disclaimer in the Two-Pot module.</w:t>
      </w:r>
    </w:p>
    <w:p>
      <w:pPr>
        <w:pStyle w:val="Heading2"/>
        <w:spacing w:after="160" w:before="280"/>
      </w:pPr>
      <w:r>
        <w:t xml:space="preserve">5.5 Estate duty and donations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Item</w:t>
            </w:r>
          </w:p>
        </w:tc>
        <w:tc>
          <w:tcPr>
            <w:tcW w:type="dxa" w:w="46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Rule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Estate duty abatement (section 4A)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R3,500,000 — portable between spouses (effective R7m on second death)</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Estate duty rate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 on dutiable value up to R30m; 25% above R30m</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Donations tax annual exemption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R100,000 per donor per tax year (natural persons)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Donations tax rate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 on cumulative donations since 1 March 2018 up to R30m; 25% above R30m</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Spousal exemption (estate duty and donations tax)</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Unlimited between spouses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Executor’s fee (maximum tariff)</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3.5% of gross estate + 6% of income earned during administration, plus VAT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Master’s fees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Sliding scale, capped at R7,000 in most estates</w:t>
            </w:r>
          </w:p>
        </w:tc>
      </w:tr>
    </w:tbl>
    <w:p>
      <w:pPr>
        <w:spacing w:after="120"/>
      </w:pPr>
      <w:r>
        <w:t xml:space="preserve">Note: some recent SARS guidance restates the natural-person donations tax annual exemption at R100,000. Fynla SA should treat this as a single constant (DonationsTax::ANNUAL_EXEMPTION) sourced from TaxConfigurationSeeder so it can be adjusted in the annual Budget refresh.</w:t>
      </w:r>
    </w:p>
    <w:p>
      <w:r>
        <w:br w:type="page"/>
      </w:r>
    </w:p>
    <w:p>
      <w:pPr>
        <w:pStyle w:val="Heading1"/>
        <w:spacing w:after="160" w:before="280"/>
      </w:pPr>
      <w:r>
        <w:t xml:space="preserve">6. Module mapping: Protection</w:t>
      </w:r>
    </w:p>
    <w:p>
      <w:pPr>
        <w:spacing w:after="120"/>
      </w:pPr>
      <w:r>
        <w:t xml:space="preserve">The UK Protection module assumes term life, whole-of-life, critical illness, income protection and family income benefit written in trust. SA market practice differs on several structural points.</w:t>
      </w:r>
    </w:p>
    <w:p>
      <w:pPr>
        <w:pStyle w:val="Heading2"/>
        <w:spacing w:after="160" w:before="280"/>
      </w:pPr>
      <w:r>
        <w:t xml:space="preserve">6.1 Product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UK product (remove)</w:t>
            </w:r>
          </w:p>
        </w:tc>
        <w:tc>
          <w:tcPr>
            <w:tcW w:type="dxa" w:w="3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SA replacement</w:t>
            </w:r>
          </w:p>
        </w:tc>
        <w:tc>
          <w:tcPr>
            <w:tcW w:type="dxa" w:w="35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Notes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Term life (level / decreasing)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Life cover (level / decreasing)</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Largely equivalent, different branding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Whole-of-life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Whole-of-life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Much less common in SA retail; keep but deprioritise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Critical illness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Dread disease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Different severity-based payouts (A/B/C/D tiers per ASISA SCIDEP)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Income protection (PHI)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Income protection / disability income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Typically expressed as % of gross/net income; 2-year or to-age-65 policies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Family income benefit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Monthly annuity life cover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Available but niche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Lump-sum disability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New product — pays on permanent disability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Funeral cover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New product — small policies, often short-term underwritten; cover whole family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Life policies in trust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Life policies with nominated beneficiary / estate / testamentary trust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 has no ‘trust wrapper’ equivalent to the UK; beneficiary nomination works differently for estate duty</w:t>
            </w:r>
          </w:p>
        </w:tc>
      </w:tr>
    </w:tbl>
    <w:p>
      <w:pPr>
        <w:pStyle w:val="Heading2"/>
        <w:spacing w:after="160" w:before="280"/>
      </w:pPr>
      <w:r>
        <w:t xml:space="preserve">6.2 Tax treatment of premiums and payouts</w:t>
      </w:r>
    </w:p>
    <w:p>
      <w:pPr>
        <w:pStyle w:val="ListParagraph"/>
        <w:numPr>
          <w:ilvl w:val="0"/>
          <w:numId w:val="2"/>
        </w:numPr>
        <w:spacing w:after="80"/>
      </w:pPr>
      <w:r>
        <w:t xml:space="preserve">Life cover premiums: generally not deductible for individuals; payouts to nominated beneficiaries generally free of income tax.</w:t>
      </w:r>
    </w:p>
    <w:p>
      <w:pPr>
        <w:pStyle w:val="ListParagraph"/>
        <w:numPr>
          <w:ilvl w:val="0"/>
          <w:numId w:val="2"/>
        </w:numPr>
        <w:spacing w:after="80"/>
      </w:pPr>
      <w:r>
        <w:t xml:space="preserve">Policies payable to the estate are dutiable; policies payable to a nominated beneficiary (spouse or other) with correct wording are not dutiable under section 3(3)(a)(ii) exclusions (subject to the policy meeting the exclusion criteria).</w:t>
      </w:r>
    </w:p>
    <w:p>
      <w:pPr>
        <w:pStyle w:val="ListParagraph"/>
        <w:numPr>
          <w:ilvl w:val="0"/>
          <w:numId w:val="2"/>
        </w:numPr>
        <w:spacing w:after="80"/>
      </w:pPr>
      <w:r>
        <w:t xml:space="preserve">Income protection: premiums no longer deductible (change from pre-1 March 2015 rules); payouts are tax-free.</w:t>
      </w:r>
    </w:p>
    <w:p>
      <w:pPr>
        <w:pStyle w:val="ListParagraph"/>
        <w:numPr>
          <w:ilvl w:val="0"/>
          <w:numId w:val="2"/>
        </w:numPr>
        <w:spacing w:after="80"/>
      </w:pPr>
      <w:r>
        <w:t xml:space="preserve">Dread disease: lump-sum payouts are tax-free.</w:t>
      </w:r>
    </w:p>
    <w:p>
      <w:pPr>
        <w:pStyle w:val="ListParagraph"/>
        <w:numPr>
          <w:ilvl w:val="0"/>
          <w:numId w:val="2"/>
        </w:numPr>
        <w:spacing w:after="80"/>
      </w:pPr>
      <w:r>
        <w:t xml:space="preserve">Key-person / buy-and-sell cover: separate tax treatment — out of scope for v1.</w:t>
      </w:r>
    </w:p>
    <w:p>
      <w:pPr>
        <w:pStyle w:val="Heading2"/>
        <w:spacing w:after="160" w:before="280"/>
      </w:pPr>
      <w:r>
        <w:t xml:space="preserve">6.3 Coverage calculators</w:t>
      </w:r>
    </w:p>
    <w:p>
      <w:pPr>
        <w:spacing w:after="120"/>
      </w:pPr>
      <w:r>
        <w:t xml:space="preserve">UK heuristics (e.g. 10x salary for life cover, 60–70% of net pay for income protection) translate loosely, but the SA version should use:</w:t>
      </w:r>
    </w:p>
    <w:p>
      <w:pPr>
        <w:pStyle w:val="ListParagraph"/>
        <w:numPr>
          <w:ilvl w:val="0"/>
          <w:numId w:val="2"/>
        </w:numPr>
        <w:spacing w:after="80"/>
      </w:pPr>
      <w:r>
        <w:t xml:space="preserve">Life cover adequacy: capitalise dependants’ lifestyle need + outstanding bond + education capital + estate costs (including estate duty and 6% executor income fee) – existing liquid assets – group life.</w:t>
      </w:r>
    </w:p>
    <w:p>
      <w:pPr>
        <w:pStyle w:val="ListParagraph"/>
        <w:numPr>
          <w:ilvl w:val="0"/>
          <w:numId w:val="2"/>
        </w:numPr>
        <w:spacing w:after="80"/>
      </w:pPr>
      <w:r>
        <w:t xml:space="preserve">Income protection: 75% of gross pay (typical insurer cap) vs actual net income after tax / UIF; factor Section 11F pension contributions that continue under the policy.</w:t>
      </w:r>
    </w:p>
    <w:p>
      <w:pPr>
        <w:pStyle w:val="ListParagraph"/>
        <w:numPr>
          <w:ilvl w:val="0"/>
          <w:numId w:val="2"/>
        </w:numPr>
        <w:spacing w:after="80"/>
      </w:pPr>
      <w:r>
        <w:t xml:space="preserve">Dread disease: typically 1–3x annual salary or a fixed rand amount; allow severity-based projection.</w:t>
      </w:r>
    </w:p>
    <w:p>
      <w:pPr>
        <w:pStyle w:val="ListParagraph"/>
        <w:numPr>
          <w:ilvl w:val="0"/>
          <w:numId w:val="2"/>
        </w:numPr>
        <w:spacing w:after="80"/>
      </w:pPr>
      <w:r>
        <w:t xml:space="preserve">Funeral cover: R10k – R100k per life; include family / extended family members.</w:t>
      </w:r>
    </w:p>
    <w:p>
      <w:pPr>
        <w:pStyle w:val="Heading2"/>
        <w:spacing w:after="160" w:before="280"/>
      </w:pPr>
      <w:r>
        <w:t xml:space="preserve">6.4 Data model changes</w:t>
      </w:r>
    </w:p>
    <w:p>
      <w:pPr>
        <w:pStyle w:val="ListParagraph"/>
        <w:numPr>
          <w:ilvl w:val="0"/>
          <w:numId w:val="2"/>
        </w:numPr>
        <w:spacing w:after="80"/>
      </w:pPr>
      <w:r>
        <w:t xml:space="preserve">Extend protection_policies table: add product_type enum (life, whole_of_life, dread, idisability_lump, idisability_income, funeral, key_person)</w:t>
      </w:r>
    </w:p>
    <w:p>
      <w:pPr>
        <w:pStyle w:val="ListParagraph"/>
        <w:numPr>
          <w:ilvl w:val="0"/>
          <w:numId w:val="2"/>
        </w:numPr>
        <w:spacing w:after="80"/>
      </w:pPr>
      <w:r>
        <w:t xml:space="preserve">Add severity_tier (nullable) for dread disease</w:t>
      </w:r>
    </w:p>
    <w:p>
      <w:pPr>
        <w:pStyle w:val="ListParagraph"/>
        <w:numPr>
          <w:ilvl w:val="0"/>
          <w:numId w:val="2"/>
        </w:numPr>
        <w:spacing w:after="80"/>
      </w:pPr>
      <w:r>
        <w:t xml:space="preserve">Add waiting_period_months and benefit_term_months for income protection</w:t>
      </w:r>
    </w:p>
    <w:p>
      <w:pPr>
        <w:pStyle w:val="ListParagraph"/>
        <w:numPr>
          <w:ilvl w:val="0"/>
          <w:numId w:val="2"/>
        </w:numPr>
        <w:spacing w:after="80"/>
      </w:pPr>
      <w:r>
        <w:t xml:space="preserve">Replace ‘written in trust’ boolean with beneficiary_type enum (estate, spouse, nominated_individual, testamentary_trust, inter_vivos_trust)</w:t>
      </w:r>
    </w:p>
    <w:p>
      <w:r>
        <w:br w:type="page"/>
      </w:r>
    </w:p>
    <w:p>
      <w:pPr>
        <w:pStyle w:val="Heading1"/>
        <w:spacing w:after="160" w:before="280"/>
      </w:pPr>
      <w:r>
        <w:t xml:space="preserve">7. Module mapping: Savings &amp; Tax-Free Savings Account</w:t>
      </w:r>
    </w:p>
    <w:p>
      <w:pPr>
        <w:pStyle w:val="Heading2"/>
        <w:spacing w:after="160" w:before="280"/>
      </w:pPr>
      <w:r>
        <w:t xml:space="preserve">7.1 Replace the ISA with the TFSA</w:t>
      </w:r>
    </w:p>
    <w:p>
      <w:pPr>
        <w:spacing w:after="120"/>
      </w:pPr>
      <w:r>
        <w:t xml:space="preserve">The entire ISA framework disappears. It is replaced by a single Tax-Free Savings Account abstraction with very different limits and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Item</w:t>
            </w:r>
          </w:p>
        </w:tc>
        <w:tc>
          <w:tcPr>
            <w:tcW w:type="dxa" w:w="30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UK ISA (remove)</w:t>
            </w:r>
          </w:p>
        </w:tc>
        <w:tc>
          <w:tcPr>
            <w:tcW w:type="dxa" w:w="40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SA TFSA (add)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Annual limit</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£20,000</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R46,000 (from 1 March 2026)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Lifetime limit</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None</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R500,000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Sub-types</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Cash, Stocks &amp; Shares, Lifetime, Innovative Finance, Junior</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Single TFSA (cash or investment), minor TFSAs allowed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Over-subscription penalty</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Tax on excess income</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 flat penalty on contributions over the annual or lifetime cap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Transfer rules</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Provider-to-provider transfer preserves allowance</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Transfers now permitted (since 2018); contributions in a year still count to limit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Aggregation</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Per tax year across wrappers</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Across all providers and all account types in aggregate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Tax treatment</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Tax-free growth + withdrawals</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Tax-free interest, dividends, CGT + withdrawals</w:t>
            </w:r>
          </w:p>
        </w:tc>
      </w:tr>
    </w:tbl>
    <w:p>
      <w:pPr>
        <w:pStyle w:val="Heading2"/>
        <w:spacing w:after="160" w:before="280"/>
      </w:pPr>
      <w:r>
        <w:t xml:space="preserve">7.2 Non-TFSA savings products</w:t>
      </w:r>
    </w:p>
    <w:p>
      <w:pPr>
        <w:pStyle w:val="ListParagraph"/>
        <w:numPr>
          <w:ilvl w:val="0"/>
          <w:numId w:val="2"/>
        </w:numPr>
        <w:spacing w:after="80"/>
      </w:pPr>
      <w:r>
        <w:t xml:space="preserve">Transactional / call account — interest taxable at marginal rate, subject to interest exemption</w:t>
      </w:r>
    </w:p>
    <w:p>
      <w:pPr>
        <w:pStyle w:val="ListParagraph"/>
        <w:numPr>
          <w:ilvl w:val="0"/>
          <w:numId w:val="2"/>
        </w:numPr>
        <w:spacing w:after="80"/>
      </w:pPr>
      <w:r>
        <w:t xml:space="preserve">Notice deposit (7 / 32 / 90 days)</w:t>
      </w:r>
    </w:p>
    <w:p>
      <w:pPr>
        <w:pStyle w:val="ListParagraph"/>
        <w:numPr>
          <w:ilvl w:val="0"/>
          <w:numId w:val="2"/>
        </w:numPr>
        <w:spacing w:after="80"/>
      </w:pPr>
      <w:r>
        <w:t xml:space="preserve">Fixed deposit (3m – 5y)</w:t>
      </w:r>
    </w:p>
    <w:p>
      <w:pPr>
        <w:pStyle w:val="ListParagraph"/>
        <w:numPr>
          <w:ilvl w:val="0"/>
          <w:numId w:val="2"/>
        </w:numPr>
        <w:spacing w:after="80"/>
      </w:pPr>
      <w:r>
        <w:t xml:space="preserve">Money Market fund (CIS) — interest + capital, governed by CISCA</w:t>
      </w:r>
    </w:p>
    <w:p>
      <w:pPr>
        <w:pStyle w:val="ListParagraph"/>
        <w:numPr>
          <w:ilvl w:val="0"/>
          <w:numId w:val="2"/>
        </w:numPr>
        <w:spacing w:after="80"/>
      </w:pPr>
      <w:r>
        <w:t xml:space="preserve">RSA Retail Savings Bonds (Fixed and Inflation-Linked) — direct from Treasury, R1,000 minimum</w:t>
      </w:r>
    </w:p>
    <w:p>
      <w:pPr>
        <w:pStyle w:val="ListParagraph"/>
        <w:numPr>
          <w:ilvl w:val="0"/>
          <w:numId w:val="2"/>
        </w:numPr>
        <w:spacing w:after="80"/>
      </w:pPr>
      <w:r>
        <w:t xml:space="preserve">Endowment (section 29A) — 30% tax rate within the wrapper, 5-year restriction period, used by higher-rate taxpayers</w:t>
      </w:r>
    </w:p>
    <w:p>
      <w:pPr>
        <w:pStyle w:val="Heading2"/>
        <w:spacing w:after="160" w:before="280"/>
      </w:pPr>
      <w:r>
        <w:t xml:space="preserve">7.3 Emergency fund heuristic</w:t>
      </w:r>
    </w:p>
    <w:p>
      <w:pPr>
        <w:spacing w:after="120"/>
      </w:pPr>
      <w:r>
        <w:t xml:space="preserve">UK default is 3–6 months of essential expenditure. SA default remains 3–6 months but the adequacy calculator must pull from the ZAR Budget / Expenditure data, include UIF-replaceable income appropriately, and weight towards 6 months for single-income households given higher SA unemployment risk.</w:t>
      </w:r>
    </w:p>
    <w:p>
      <w:r>
        <w:br w:type="page"/>
      </w:r>
    </w:p>
    <w:p>
      <w:pPr>
        <w:pStyle w:val="Heading1"/>
        <w:spacing w:after="160" w:before="280"/>
      </w:pPr>
      <w:r>
        <w:t xml:space="preserve">8. Module mapping: Investment (incl. Exchange Control &amp; offshore)</w:t>
      </w:r>
    </w:p>
    <w:p>
      <w:pPr>
        <w:pStyle w:val="Heading2"/>
        <w:spacing w:after="160" w:before="280"/>
      </w:pPr>
      <w:r>
        <w:t xml:space="preserve">8.1 Local investment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Product</w:t>
            </w:r>
          </w:p>
        </w:tc>
        <w:tc>
          <w:tcPr>
            <w:tcW w:type="dxa" w:w="1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Regulator / statute</w:t>
            </w:r>
          </w:p>
        </w:tc>
        <w:tc>
          <w:tcPr>
            <w:tcW w:type="dxa" w:w="1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Tax wrapper</w:t>
            </w:r>
          </w:p>
        </w:tc>
        <w:tc>
          <w:tcPr>
            <w:tcW w:type="dxa" w:w="35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 trusts (CIS)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FSCA / CISCA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Discretionary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Distributions taxed at marginal rate; CGT on disposal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ETFs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FSCA / JSE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Discretionary or TFSA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Same tax rules as unit trusts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Direct equities (JSE)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FSCA / JSE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Discretionary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DWT on dividends, CGT on disposal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Retail savings bonds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Treasury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Discretionary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Interest exemption applies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Structured products / hedge funds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FSCA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Varied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Out of scope for v1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Endowment policies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Prudential / Insurance Act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Wrapper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Effective 30% tax within; 5-year rule</w:t>
            </w:r>
          </w:p>
        </w:tc>
      </w:tr>
    </w:tbl>
    <w:p>
      <w:pPr>
        <w:pStyle w:val="Heading2"/>
        <w:spacing w:after="160" w:before="280"/>
      </w:pPr>
      <w:r>
        <w:t xml:space="preserve">8.2 Offshore investment — the exchange control regime</w:t>
      </w:r>
    </w:p>
    <w:p>
      <w:pPr>
        <w:spacing w:after="120"/>
      </w:pPr>
      <w:r>
        <w:t xml:space="preserve">This is the biggest net-new module relative to the UK code. UK Fynla has nothing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Allowance</w:t>
            </w:r>
          </w:p>
        </w:tc>
        <w:tc>
          <w:tcPr>
            <w:tcW w:type="dxa" w:w="2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Per-person annual limit</w:t>
            </w:r>
          </w:p>
        </w:tc>
        <w:tc>
          <w:tcPr>
            <w:tcW w:type="dxa" w:w="37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Requirements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Single Discretionary Allowance (SDA)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R2,000,000 per calendar year (doubled from R1m in 2026)</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SARS tax clearance; online declaration with authorised dealer; any purpose (travel, offshore investment, gifts to non-residents, etc.)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Foreign Investment Allowance (FIA)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R10,000,000 per calendar year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SARS Approval for International Transfer (AIT) required; tax-compliance history checks; only for investment purposes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Above R12m combined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On application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SARB special approval through authorised dealer</w:t>
            </w:r>
          </w:p>
        </w:tc>
      </w:tr>
    </w:tbl>
    <w:p>
      <w:pPr>
        <w:spacing w:after="120"/>
      </w:pPr>
      <w:r>
        <w:t xml:space="preserve">A new ExchangeControlLedger table tracks SDA and FIA consumption per calendar year per user. Because the limit resets on 1 January (not 1 March or 6 April), the ledger must key off calendar year not SA tax year — this is an easy source of bugs when carried across from the UK tax-year logic.</w:t>
      </w:r>
    </w:p>
    <w:p>
      <w:pPr>
        <w:pStyle w:val="ListParagraph"/>
        <w:numPr>
          <w:ilvl w:val="0"/>
          <w:numId w:val="2"/>
        </w:numPr>
        <w:spacing w:after="80"/>
      </w:pPr>
      <w:r>
        <w:t xml:space="preserve">ExchangeControlLedger columns: user_id, calendar_year, allowance_type (sda / fia), amount_zar, destination_country, purpose, authorised_dealer, ait_reference (nullable), transfer_date</w:t>
      </w:r>
    </w:p>
    <w:p>
      <w:pPr>
        <w:pStyle w:val="ListParagraph"/>
        <w:numPr>
          <w:ilvl w:val="0"/>
          <w:numId w:val="2"/>
        </w:numPr>
        <w:spacing w:after="80"/>
      </w:pPr>
      <w:r>
        <w:t xml:space="preserve">Running totals surface in the Investment dashboard as ‘SDA used this year: R450,000 of R2,000,000’</w:t>
      </w:r>
    </w:p>
    <w:p>
      <w:pPr>
        <w:pStyle w:val="ListParagraph"/>
        <w:numPr>
          <w:ilvl w:val="0"/>
          <w:numId w:val="2"/>
        </w:numPr>
        <w:spacing w:after="80"/>
      </w:pPr>
      <w:r>
        <w:t xml:space="preserve">When a user schedules a transfer above their remaining SDA, Fynla SA surfaces the FIA requirement and the AIT workflow</w:t>
      </w:r>
    </w:p>
    <w:p>
      <w:pPr>
        <w:pStyle w:val="Heading2"/>
        <w:spacing w:after="160" w:before="280"/>
      </w:pPr>
      <w:r>
        <w:t xml:space="preserve">8.3 Capital gains tax on discretionary investments</w:t>
      </w:r>
    </w:p>
    <w:p>
      <w:pPr>
        <w:pStyle w:val="ListParagraph"/>
        <w:numPr>
          <w:ilvl w:val="0"/>
          <w:numId w:val="2"/>
        </w:numPr>
        <w:spacing w:after="80"/>
      </w:pPr>
      <w:r>
        <w:t xml:space="preserve">Track base cost per lot (SA uses weighted-average or specific identification depending on product)</w:t>
      </w:r>
    </w:p>
    <w:p>
      <w:pPr>
        <w:pStyle w:val="ListParagraph"/>
        <w:numPr>
          <w:ilvl w:val="0"/>
          <w:numId w:val="2"/>
        </w:numPr>
        <w:spacing w:after="80"/>
      </w:pPr>
      <w:r>
        <w:t xml:space="preserve">Apply 40% inclusion on realised gains for individuals</w:t>
      </w:r>
    </w:p>
    <w:p>
      <w:pPr>
        <w:pStyle w:val="ListParagraph"/>
        <w:numPr>
          <w:ilvl w:val="0"/>
          <w:numId w:val="2"/>
        </w:numPr>
        <w:spacing w:after="80"/>
      </w:pPr>
      <w:r>
        <w:t xml:space="preserve">Apply annual R40,000 exclusion</w:t>
      </w:r>
    </w:p>
    <w:p>
      <w:pPr>
        <w:pStyle w:val="ListParagraph"/>
        <w:numPr>
          <w:ilvl w:val="0"/>
          <w:numId w:val="2"/>
        </w:numPr>
        <w:spacing w:after="80"/>
      </w:pPr>
      <w:r>
        <w:t xml:space="preserve">Primary residence R2m exclusion (handled in Property, not Investment)</w:t>
      </w:r>
    </w:p>
    <w:p>
      <w:pPr>
        <w:pStyle w:val="ListParagraph"/>
        <w:numPr>
          <w:ilvl w:val="0"/>
          <w:numId w:val="2"/>
        </w:numPr>
        <w:spacing w:after="80"/>
      </w:pPr>
      <w:r>
        <w:t xml:space="preserve">Death R300,000 exclusion (handled in Estate)</w:t>
      </w:r>
    </w:p>
    <w:p>
      <w:pPr>
        <w:pStyle w:val="ListParagraph"/>
        <w:numPr>
          <w:ilvl w:val="0"/>
          <w:numId w:val="2"/>
        </w:numPr>
        <w:spacing w:after="80"/>
      </w:pPr>
      <w:r>
        <w:t xml:space="preserve">Currency gains on offshore assets: gain in foreign currency, translated at average / spot rates per Eighth Schedule rules</w:t>
      </w:r>
    </w:p>
    <w:p>
      <w:pPr>
        <w:pStyle w:val="Heading2"/>
        <w:spacing w:after="160" w:before="280"/>
      </w:pPr>
      <w:r>
        <w:t xml:space="preserve">8.4 Removals and renames from UK Investment module</w:t>
      </w:r>
    </w:p>
    <w:p>
      <w:pPr>
        <w:pStyle w:val="ListParagraph"/>
        <w:numPr>
          <w:ilvl w:val="0"/>
          <w:numId w:val="2"/>
        </w:numPr>
        <w:spacing w:after="80"/>
      </w:pPr>
      <w:r>
        <w:t xml:space="preserve">Remove: GIA (General Investment Account), VCT, EIS, SEIS, SSAS references, Bond ISA</w:t>
      </w:r>
    </w:p>
    <w:p>
      <w:pPr>
        <w:pStyle w:val="ListParagraph"/>
        <w:numPr>
          <w:ilvl w:val="0"/>
          <w:numId w:val="2"/>
        </w:numPr>
        <w:spacing w:after="80"/>
      </w:pPr>
      <w:r>
        <w:t xml:space="preserve">Remove: UK CGT annual exemption (£3,000) constants</w:t>
      </w:r>
    </w:p>
    <w:p>
      <w:pPr>
        <w:pStyle w:val="ListParagraph"/>
        <w:numPr>
          <w:ilvl w:val="0"/>
          <w:numId w:val="2"/>
        </w:numPr>
        <w:spacing w:after="80"/>
      </w:pPr>
      <w:r>
        <w:t xml:space="preserve">Remove: Dividend allowance (£500) and personal savings allowance (£500/£1,000/£0)</w:t>
      </w:r>
    </w:p>
    <w:p>
      <w:pPr>
        <w:pStyle w:val="ListParagraph"/>
        <w:numPr>
          <w:ilvl w:val="0"/>
          <w:numId w:val="2"/>
        </w:numPr>
        <w:spacing w:after="80"/>
      </w:pPr>
      <w:r>
        <w:t xml:space="preserve">Rename: ‘GIA’ → ‘Discretionary portfolio’</w:t>
      </w:r>
    </w:p>
    <w:p>
      <w:pPr>
        <w:pStyle w:val="ListParagraph"/>
        <w:numPr>
          <w:ilvl w:val="0"/>
          <w:numId w:val="2"/>
        </w:numPr>
        <w:spacing w:after="80"/>
      </w:pPr>
      <w:r>
        <w:t xml:space="preserve">Rename: ‘Platform’ → ‘LISP’ (Linked Investment Service Provider) for SA investment platforms</w:t>
      </w:r>
    </w:p>
    <w:p>
      <w:r>
        <w:br w:type="page"/>
      </w:r>
    </w:p>
    <w:p>
      <w:pPr>
        <w:pStyle w:val="Heading1"/>
        <w:spacing w:after="160" w:before="280"/>
      </w:pPr>
      <w:r>
        <w:t xml:space="preserve">9. Module mapping: Retirement</w:t>
      </w:r>
    </w:p>
    <w:p>
      <w:pPr>
        <w:spacing w:after="120"/>
      </w:pPr>
      <w:r>
        <w:t xml:space="preserve">The Retirement module is the most surgery-heavy of the migration. The UK pillar structure (State Pension, DC workplace, DB, SIPP, SSAS, drawdown, UFPLS, annuity, LSA / LSDBA) is entirely removed. It is replaced by the SA three-funds + two-pot model.</w:t>
      </w:r>
    </w:p>
    <w:p>
      <w:pPr>
        <w:pStyle w:val="Heading2"/>
        <w:spacing w:after="160" w:before="280"/>
      </w:pPr>
      <w:r>
        <w:t xml:space="preserve">9.1 SA retirement fund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Fund</w:t>
            </w:r>
          </w:p>
        </w:tc>
        <w:tc>
          <w:tcPr>
            <w:tcW w:type="dxa" w:w="1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Sponsor</w:t>
            </w:r>
          </w:p>
        </w:tc>
        <w:tc>
          <w:tcPr>
            <w:tcW w:type="dxa" w:w="1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Contribution deduction</w:t>
            </w:r>
          </w:p>
        </w:tc>
        <w:tc>
          <w:tcPr>
            <w:tcW w:type="dxa" w:w="35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Access at retirement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Pension Fund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Employer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11F (capped)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Up to 1/3 cash + 2/3 compulsory annuity (see §9.3)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Provident Fund (post-1 March 2021 portion)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Employer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11F (capped)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Same rules as Pension Fund — fully harmonised for contributions after 1 March 2021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Provident Fund (vested pre-1 March 2021 portion)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Employer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Historical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Still commutable 100% for members 55+ on 1 March 2021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Retirement Annuity (RA)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Individual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11F (capped)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Same 1/3 / 2/3 rule; accessible from age 55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Pension / Provident Preservation Fund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Individual (after leaving employment)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One full/partial withdrawal allowed (pre-two-pot portion only); rest at retirement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GEPF (Government Employees Pension Fund)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Members don’t deduct; employer contributes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Defined benefit — out of scope for v1 calc engine but must be recorded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Umbrella funds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Multi-employer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11F (capped)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Same as sponsor type</w:t>
            </w:r>
          </w:p>
        </w:tc>
      </w:tr>
    </w:tbl>
    <w:p>
      <w:pPr>
        <w:pStyle w:val="Heading2"/>
        <w:spacing w:after="160" w:before="280"/>
      </w:pPr>
      <w:r>
        <w:t xml:space="preserve">9.2 Two-Pot System (effective 1 September 2024)</w:t>
      </w:r>
    </w:p>
    <w:p>
      <w:pPr>
        <w:spacing w:after="120"/>
      </w:pPr>
      <w:r>
        <w:t xml:space="preserve">All contributions to pension, provident and retirement annuity funds from 1 September 2024 split into:</w:t>
      </w:r>
    </w:p>
    <w:p>
      <w:pPr>
        <w:pStyle w:val="ListParagraph"/>
        <w:numPr>
          <w:ilvl w:val="0"/>
          <w:numId w:val="2"/>
        </w:numPr>
        <w:spacing w:after="80"/>
      </w:pPr>
      <w:r>
        <w:t xml:space="preserve">1/3 → Savings Component — accessible once per tax year, minimum R2,000, taxed at member’s marginal rate</w:t>
      </w:r>
    </w:p>
    <w:p>
      <w:pPr>
        <w:pStyle w:val="ListParagraph"/>
        <w:numPr>
          <w:ilvl w:val="0"/>
          <w:numId w:val="2"/>
        </w:numPr>
        <w:spacing w:after="80"/>
      </w:pPr>
      <w:r>
        <w:t xml:space="preserve">2/3 → Retirement Component — locked until retirement; must be used for compulsory annuity</w:t>
      </w:r>
    </w:p>
    <w:p>
      <w:pPr>
        <w:spacing w:after="120"/>
      </w:pPr>
      <w:r>
        <w:t xml:space="preserve">Pre-1 September 2024 balances remain in the Vested Component and keep their old rules. A one-off seeding of 10% (capped at R30,000) of the vested balance was moved into the Savings Component at implementation. There is no further seeding.</w:t>
      </w:r>
    </w:p>
    <w:p>
      <w:pPr>
        <w:spacing w:after="120"/>
      </w:pPr>
      <w:r>
        <w:t xml:space="preserve">Fynla SA data model needs three balance buckets per fund per member: vested_balance, savings_balance, retirement_balance. The UI distinguishes each in the retirement dashboard and warns when a Savings Pot withdrawal would push the member into a higher marginal bracket.</w:t>
      </w:r>
    </w:p>
    <w:p>
      <w:pPr>
        <w:pStyle w:val="Heading2"/>
        <w:spacing w:after="160" w:before="280"/>
      </w:pPr>
      <w:r>
        <w:t xml:space="preserve">9.3 Compulsory annuitisation rules at retirement</w:t>
      </w:r>
    </w:p>
    <w:p>
      <w:pPr>
        <w:pStyle w:val="ListParagraph"/>
        <w:numPr>
          <w:ilvl w:val="0"/>
          <w:numId w:val="2"/>
        </w:numPr>
        <w:spacing w:after="80"/>
      </w:pPr>
      <w:r>
        <w:t xml:space="preserve">1/3 may be taken as a lump sum (taxed per §5.4 retirement lump sum table)</w:t>
      </w:r>
    </w:p>
    <w:p>
      <w:pPr>
        <w:pStyle w:val="ListParagraph"/>
        <w:numPr>
          <w:ilvl w:val="0"/>
          <w:numId w:val="2"/>
        </w:numPr>
        <w:spacing w:after="80"/>
      </w:pPr>
      <w:r>
        <w:t xml:space="preserve">2/3 must be used to buy a compulsory annuity (living or life)</w:t>
      </w:r>
    </w:p>
    <w:p>
      <w:pPr>
        <w:pStyle w:val="ListParagraph"/>
        <w:numPr>
          <w:ilvl w:val="0"/>
          <w:numId w:val="2"/>
        </w:numPr>
        <w:spacing w:after="80"/>
      </w:pPr>
      <w:r>
        <w:t xml:space="preserve">De minimis: if the combined vested + retirement component total is under R165,000 the member may commute the full amount</w:t>
      </w:r>
    </w:p>
    <w:p>
      <w:pPr>
        <w:pStyle w:val="ListParagraph"/>
        <w:numPr>
          <w:ilvl w:val="0"/>
          <w:numId w:val="2"/>
        </w:numPr>
        <w:spacing w:after="80"/>
      </w:pPr>
      <w:r>
        <w:t xml:space="preserve">The Retirement Component of the Two-Pot system cannot be commuted regardless of overall size once the two-pot regime applies — it must buy an annuity</w:t>
      </w:r>
    </w:p>
    <w:p>
      <w:pPr>
        <w:pStyle w:val="ListParagraph"/>
        <w:numPr>
          <w:ilvl w:val="0"/>
          <w:numId w:val="2"/>
        </w:numPr>
        <w:spacing w:after="80"/>
      </w:pPr>
      <w:r>
        <w:t xml:space="preserve">Lifetime cumulative rule: all post-October 2007 retirement lump sums aggregate for the purposes of the retirement lump sum table</w:t>
      </w:r>
    </w:p>
    <w:p>
      <w:pPr>
        <w:pStyle w:val="Heading2"/>
        <w:spacing w:after="160" w:before="280"/>
      </w:pPr>
      <w:r>
        <w:t xml:space="preserve">9.4 Living annuity mechanics</w:t>
      </w:r>
    </w:p>
    <w:p>
      <w:pPr>
        <w:pStyle w:val="ListParagraph"/>
        <w:numPr>
          <w:ilvl w:val="0"/>
          <w:numId w:val="2"/>
        </w:numPr>
        <w:spacing w:after="80"/>
      </w:pPr>
      <w:r>
        <w:t xml:space="preserve">Drawdown band: 2.5% to 17.5% of the capital value, per policy anniversary</w:t>
      </w:r>
    </w:p>
    <w:p>
      <w:pPr>
        <w:pStyle w:val="ListParagraph"/>
        <w:numPr>
          <w:ilvl w:val="0"/>
          <w:numId w:val="2"/>
        </w:numPr>
        <w:spacing w:after="80"/>
      </w:pPr>
      <w:r>
        <w:t xml:space="preserve">Drawdown election once per year on policy anniversary</w:t>
      </w:r>
    </w:p>
    <w:p>
      <w:pPr>
        <w:pStyle w:val="ListParagraph"/>
        <w:numPr>
          <w:ilvl w:val="0"/>
          <w:numId w:val="2"/>
        </w:numPr>
        <w:spacing w:after="80"/>
      </w:pPr>
      <w:r>
        <w:t xml:space="preserve">No Regulation 28 restriction in a living annuity (the member can hold up to 100% offshore if the LISP allows)</w:t>
      </w:r>
    </w:p>
    <w:p>
      <w:pPr>
        <w:pStyle w:val="ListParagraph"/>
        <w:numPr>
          <w:ilvl w:val="0"/>
          <w:numId w:val="2"/>
        </w:numPr>
        <w:spacing w:after="80"/>
      </w:pPr>
      <w:r>
        <w:t xml:space="preserve">On death, remaining capital passes to nominated beneficiaries (option for cash lump sum taxed on retirement lump sum table, or continuation as their living annuity)</w:t>
      </w:r>
    </w:p>
    <w:p>
      <w:pPr>
        <w:pStyle w:val="ListParagraph"/>
        <w:numPr>
          <w:ilvl w:val="0"/>
          <w:numId w:val="2"/>
        </w:numPr>
        <w:spacing w:after="80"/>
      </w:pPr>
      <w:r>
        <w:t xml:space="preserve">Capital is not dutiable for estate duty (important planning point)</w:t>
      </w:r>
    </w:p>
    <w:p>
      <w:pPr>
        <w:pStyle w:val="Heading2"/>
        <w:spacing w:after="160" w:before="280"/>
      </w:pPr>
      <w:r>
        <w:t xml:space="preserve">9.5 Life (guaranteed) annuity mechanics</w:t>
      </w:r>
    </w:p>
    <w:p>
      <w:pPr>
        <w:pStyle w:val="ListParagraph"/>
        <w:numPr>
          <w:ilvl w:val="0"/>
          <w:numId w:val="2"/>
        </w:numPr>
        <w:spacing w:after="80"/>
      </w:pPr>
      <w:r>
        <w:t xml:space="preserve">Fixed, with-profit, escalating, joint-and-survivor, or level options</w:t>
      </w:r>
    </w:p>
    <w:p>
      <w:pPr>
        <w:pStyle w:val="ListParagraph"/>
        <w:numPr>
          <w:ilvl w:val="0"/>
          <w:numId w:val="2"/>
        </w:numPr>
        <w:spacing w:after="80"/>
      </w:pPr>
      <w:r>
        <w:t xml:space="preserve">Income is taxable at marginal rate; Section 10C exemption applies to the component attributable to non-deductible contributions</w:t>
      </w:r>
    </w:p>
    <w:p>
      <w:pPr>
        <w:pStyle w:val="ListParagraph"/>
        <w:numPr>
          <w:ilvl w:val="0"/>
          <w:numId w:val="2"/>
        </w:numPr>
        <w:spacing w:after="80"/>
      </w:pPr>
      <w:r>
        <w:t xml:space="preserve">On death, capital extinguishes (guarantee terms aside)</w:t>
      </w:r>
    </w:p>
    <w:p>
      <w:pPr>
        <w:pStyle w:val="Heading2"/>
        <w:spacing w:after="160" w:before="280"/>
      </w:pPr>
      <w:r>
        <w:t xml:space="preserve">9.6 Regulation 28 asset-class limits (applies to pre-retirement funds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Asset class</w:t>
            </w:r>
          </w:p>
        </w:tc>
        <w:tc>
          <w:tcPr>
            <w:tcW w:type="dxa" w:w="41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Regulation 28 maximum</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Offshore (all foreign assets including African)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45%</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Equities (local + foreign combined)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75%</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Property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Private equity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Commodities (incl. gold)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Hedge funds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Other / alternative assets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Exposure to a single entity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w:t>
            </w:r>
          </w:p>
        </w:tc>
      </w:tr>
    </w:tbl>
    <w:p>
      <w:pPr>
        <w:spacing w:after="120"/>
      </w:pPr>
      <w:r>
        <w:t xml:space="preserve">Fynla SA includes a Reg 28 Monitor: for each retirement fund holding, roll up the look-through asset allocation and flag breaches. For umbrella-fund DC members this is usually handled by the administrator, but RA and preservation fund members on LISPs often select their own funds and need the check.</w:t>
      </w:r>
    </w:p>
    <w:p>
      <w:pPr>
        <w:pStyle w:val="Heading2"/>
        <w:spacing w:after="160" w:before="280"/>
      </w:pPr>
      <w:r>
        <w:t xml:space="preserve">9.7 Section 11F and Section 10C</w:t>
      </w:r>
    </w:p>
    <w:p>
      <w:pPr>
        <w:pStyle w:val="ListParagraph"/>
        <w:numPr>
          <w:ilvl w:val="0"/>
          <w:numId w:val="2"/>
        </w:numPr>
        <w:spacing w:after="80"/>
      </w:pPr>
      <w:r>
        <w:t xml:space="preserve">Section 11F: contribution deduction = 27.5% of greater of remuneration or taxable income, capped at R350,000 per tax year</w:t>
      </w:r>
    </w:p>
    <w:p>
      <w:pPr>
        <w:pStyle w:val="ListParagraph"/>
        <w:numPr>
          <w:ilvl w:val="0"/>
          <w:numId w:val="2"/>
        </w:numPr>
        <w:spacing w:after="80"/>
      </w:pPr>
      <w:r>
        <w:t xml:space="preserve">Excess contributions roll over to future years as further deductions, and any remaining balance at retirement converts into an exemption against annuity income under Section 10C</w:t>
      </w:r>
    </w:p>
    <w:p>
      <w:pPr>
        <w:pStyle w:val="ListParagraph"/>
        <w:numPr>
          <w:ilvl w:val="0"/>
          <w:numId w:val="2"/>
        </w:numPr>
        <w:spacing w:after="80"/>
      </w:pPr>
      <w:r>
        <w:t xml:space="preserve">The rollover balance is a per-member stateful amount — the Tax Engine must track ‘unclaimed section 11F deduction carry-forward’ and apply it automatically</w:t>
      </w:r>
    </w:p>
    <w:p>
      <w:pPr>
        <w:pStyle w:val="Heading2"/>
        <w:spacing w:after="160" w:before="280"/>
      </w:pPr>
      <w:r>
        <w:t xml:space="preserve">9.8 Government Old Age Grant (SASSA)</w:t>
      </w:r>
    </w:p>
    <w:p>
      <w:pPr>
        <w:pStyle w:val="ListParagraph"/>
        <w:numPr>
          <w:ilvl w:val="0"/>
          <w:numId w:val="2"/>
        </w:numPr>
        <w:spacing w:after="80"/>
      </w:pPr>
      <w:r>
        <w:t xml:space="preserve">Means-tested, not a UK-style state pension</w:t>
      </w:r>
    </w:p>
    <w:p>
      <w:pPr>
        <w:pStyle w:val="ListParagraph"/>
        <w:numPr>
          <w:ilvl w:val="0"/>
          <w:numId w:val="2"/>
        </w:numPr>
        <w:spacing w:after="80"/>
      </w:pPr>
      <w:r>
        <w:t xml:space="preserve">Age 60+ with asset and income tests</w:t>
      </w:r>
    </w:p>
    <w:p>
      <w:pPr>
        <w:pStyle w:val="ListParagraph"/>
        <w:numPr>
          <w:ilvl w:val="0"/>
          <w:numId w:val="2"/>
        </w:numPr>
        <w:spacing w:after="80"/>
      </w:pPr>
      <w:r>
        <w:t xml:space="preserve">Modest grant — the product surfaces it as a potential top-up for low-income retirees; full mechanics are out of scope for v1 but the data field is added</w:t>
      </w:r>
    </w:p>
    <w:p>
      <w:pPr>
        <w:pStyle w:val="Heading2"/>
        <w:spacing w:after="160" w:before="280"/>
      </w:pPr>
      <w:r>
        <w:t xml:space="preserve">9.9 Unclaimed benefits</w:t>
      </w:r>
    </w:p>
    <w:p>
      <w:pPr>
        <w:pStyle w:val="ListParagraph"/>
        <w:numPr>
          <w:ilvl w:val="0"/>
          <w:numId w:val="2"/>
        </w:numPr>
        <w:spacing w:after="80"/>
      </w:pPr>
      <w:r>
        <w:t xml:space="preserve">FSCA maintains an Unclaimed Benefits search facility</w:t>
      </w:r>
    </w:p>
    <w:p>
      <w:pPr>
        <w:pStyle w:val="ListParagraph"/>
        <w:numPr>
          <w:ilvl w:val="0"/>
          <w:numId w:val="2"/>
        </w:numPr>
        <w:spacing w:after="80"/>
      </w:pPr>
      <w:r>
        <w:t xml:space="preserve">Fynla SA should link out to this from the Retirement landing page — common scenario for members who changed jobs and lost track of preserved benefits</w:t>
      </w:r>
    </w:p>
    <w:p>
      <w:r>
        <w:br w:type="page"/>
      </w:r>
    </w:p>
    <w:p>
      <w:pPr>
        <w:pStyle w:val="Heading1"/>
        <w:spacing w:after="160" w:before="280"/>
      </w:pPr>
      <w:r>
        <w:t xml:space="preserve">10. Module mapping: Estate Planning</w:t>
      </w:r>
    </w:p>
    <w:p>
      <w:pPr>
        <w:pStyle w:val="Heading2"/>
        <w:spacing w:after="160" w:before="280"/>
      </w:pPr>
      <w:r>
        <w:t xml:space="preserve">10.1 Replace IHT with Estate Duty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UK (remove)</w:t>
            </w:r>
          </w:p>
        </w:tc>
        <w:tc>
          <w:tcPr>
            <w:tcW w:type="dxa" w:w="46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SA (add)</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IHT at 40% above £325k NRB + £175k RNRB</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Estate duty at 20% up to R30m dutiable value; 25% above R30m</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Residence Nil Rate Band (main home to descendants)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equivalent — primary residence is fully dutiable, but CGT R2m exclusion applies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Taper relief on PETs (3–7 years)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taper — cumulative donations since 1 March 2018 aggregate; annual R100k exemption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Gifts out of normal expenditure exemption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direct equivalent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Spousal unlimited exemption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Unlimited spousal — with R3.5m abatement roll-over to survivor under s4A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Trusts: relevant property regime, 10-year charge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 vivos trusts: 45% flat income tax on retained income; conduit principle; s7 attribution; special trusts Type A (disabled) and Type B (testamentary for minors)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Lifetime gifts up to £3,000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R100,000 annual donations tax exemption per donor</w:t>
            </w:r>
          </w:p>
        </w:tc>
      </w:tr>
    </w:tbl>
    <w:p>
      <w:pPr>
        <w:pStyle w:val="Heading2"/>
        <w:spacing w:after="160" w:before="280"/>
      </w:pPr>
      <w:r>
        <w:t xml:space="preserve">10.2 CGT on death</w:t>
      </w:r>
    </w:p>
    <w:p>
      <w:pPr>
        <w:pStyle w:val="ListParagraph"/>
        <w:numPr>
          <w:ilvl w:val="0"/>
          <w:numId w:val="2"/>
        </w:numPr>
        <w:spacing w:after="80"/>
      </w:pPr>
      <w:r>
        <w:t xml:space="preserve">Deemed disposal at market value at date of death</w:t>
      </w:r>
    </w:p>
    <w:p>
      <w:pPr>
        <w:pStyle w:val="ListParagraph"/>
        <w:numPr>
          <w:ilvl w:val="0"/>
          <w:numId w:val="2"/>
        </w:numPr>
        <w:spacing w:after="80"/>
      </w:pPr>
      <w:r>
        <w:t xml:space="preserve">R300,000 annual exclusion (instead of the R40k live exclusion)</w:t>
      </w:r>
    </w:p>
    <w:p>
      <w:pPr>
        <w:pStyle w:val="ListParagraph"/>
        <w:numPr>
          <w:ilvl w:val="0"/>
          <w:numId w:val="2"/>
        </w:numPr>
        <w:spacing w:after="80"/>
      </w:pPr>
      <w:r>
        <w:t xml:space="preserve">Inclusion at 40% for individuals</w:t>
      </w:r>
    </w:p>
    <w:p>
      <w:pPr>
        <w:pStyle w:val="ListParagraph"/>
        <w:numPr>
          <w:ilvl w:val="0"/>
          <w:numId w:val="2"/>
        </w:numPr>
        <w:spacing w:after="80"/>
      </w:pPr>
      <w:r>
        <w:t xml:space="preserve">Primary residence R2m exclusion applies</w:t>
      </w:r>
    </w:p>
    <w:p>
      <w:pPr>
        <w:pStyle w:val="ListParagraph"/>
        <w:numPr>
          <w:ilvl w:val="0"/>
          <w:numId w:val="2"/>
        </w:numPr>
        <w:spacing w:after="80"/>
      </w:pPr>
      <w:r>
        <w:t xml:space="preserve">Rollover relief to surviving spouse: bequests to a spouse are rolled over at base cost, no CGT on first death</w:t>
      </w:r>
    </w:p>
    <w:p>
      <w:pPr>
        <w:pStyle w:val="Heading2"/>
        <w:spacing w:after="160" w:before="280"/>
      </w:pPr>
      <w:r>
        <w:t xml:space="preserve">10.3 Executor and administration costs</w:t>
      </w:r>
    </w:p>
    <w:p>
      <w:pPr>
        <w:pStyle w:val="ListParagraph"/>
        <w:numPr>
          <w:ilvl w:val="0"/>
          <w:numId w:val="2"/>
        </w:numPr>
        <w:spacing w:after="80"/>
      </w:pPr>
      <w:r>
        <w:t xml:space="preserve">Executor’s fee: prescribed tariff 3.5% of gross asset value + 6% of post-death income, plus VAT where registered</w:t>
      </w:r>
    </w:p>
    <w:p>
      <w:pPr>
        <w:pStyle w:val="ListParagraph"/>
        <w:numPr>
          <w:ilvl w:val="0"/>
          <w:numId w:val="2"/>
        </w:numPr>
        <w:spacing w:after="80"/>
      </w:pPr>
      <w:r>
        <w:t xml:space="preserve">Master’s fees: sliding scale, typically capped at R7,000</w:t>
      </w:r>
    </w:p>
    <w:p>
      <w:pPr>
        <w:pStyle w:val="ListParagraph"/>
        <w:numPr>
          <w:ilvl w:val="0"/>
          <w:numId w:val="2"/>
        </w:numPr>
        <w:spacing w:after="80"/>
      </w:pPr>
      <w:r>
        <w:t xml:space="preserve">Advertising, conveyancing, valuation, bond cancellation — modelled as aggregate admin cost (~1–2% of gross estate)</w:t>
      </w:r>
    </w:p>
    <w:p>
      <w:pPr>
        <w:pStyle w:val="ListParagraph"/>
        <w:numPr>
          <w:ilvl w:val="0"/>
          <w:numId w:val="2"/>
        </w:numPr>
        <w:spacing w:after="80"/>
      </w:pPr>
      <w:r>
        <w:t xml:space="preserve">Liquidity test: project whether sufficient cash / liquid investments exist to cover estate duty + admin costs + debts without being forced to sell illiquid assets</w:t>
      </w:r>
    </w:p>
    <w:p>
      <w:pPr>
        <w:pStyle w:val="Heading2"/>
        <w:spacing w:after="160" w:before="280"/>
      </w:pPr>
      <w:r>
        <w:t xml:space="preserve">10.4 Will, testamentary trust and guardian data</w:t>
      </w:r>
    </w:p>
    <w:p>
      <w:pPr>
        <w:pStyle w:val="ListParagraph"/>
        <w:numPr>
          <w:ilvl w:val="0"/>
          <w:numId w:val="2"/>
        </w:numPr>
        <w:spacing w:after="80"/>
      </w:pPr>
      <w:r>
        <w:t xml:space="preserve">Replace UK-centric ‘Deed of Variation’ language</w:t>
      </w:r>
    </w:p>
    <w:p>
      <w:pPr>
        <w:pStyle w:val="ListParagraph"/>
        <w:numPr>
          <w:ilvl w:val="0"/>
          <w:numId w:val="2"/>
        </w:numPr>
        <w:spacing w:after="80"/>
      </w:pPr>
      <w:r>
        <w:t xml:space="preserve">Capture estate plan: will location, executor appointment, testamentary trust instruction, guardianship, key-person letter of wishes</w:t>
      </w:r>
    </w:p>
    <w:p>
      <w:pPr>
        <w:pStyle w:val="ListParagraph"/>
        <w:numPr>
          <w:ilvl w:val="0"/>
          <w:numId w:val="2"/>
        </w:numPr>
        <w:spacing w:after="80"/>
      </w:pPr>
      <w:r>
        <w:t xml:space="preserve">Surface age-specific alerts — e.g. children in a testamentary trust with no independent trustee flag</w:t>
      </w:r>
    </w:p>
    <w:p>
      <w:r>
        <w:br w:type="page"/>
      </w:r>
    </w:p>
    <w:p>
      <w:pPr>
        <w:pStyle w:val="Heading1"/>
        <w:spacing w:after="160" w:before="280"/>
      </w:pPr>
      <w:r>
        <w:t xml:space="preserve">11. Module mapping: Goals &amp; Life Events</w:t>
      </w:r>
    </w:p>
    <w:p>
      <w:pPr>
        <w:spacing w:after="120"/>
      </w:pPr>
      <w:r>
        <w:t xml:space="preserve">Largely reusable with minor edits.</w:t>
      </w:r>
    </w:p>
    <w:p>
      <w:pPr>
        <w:pStyle w:val="ListParagraph"/>
        <w:numPr>
          <w:ilvl w:val="0"/>
          <w:numId w:val="2"/>
        </w:numPr>
        <w:spacing w:after="80"/>
      </w:pPr>
      <w:r>
        <w:t xml:space="preserve">Replace ‘buy a home’ bond/mortgage defaults with SA bond norms (10% deposit, 20-year term, prime+0 to prime+1 typical)</w:t>
      </w:r>
    </w:p>
    <w:p>
      <w:pPr>
        <w:pStyle w:val="ListParagraph"/>
        <w:numPr>
          <w:ilvl w:val="0"/>
          <w:numId w:val="2"/>
        </w:numPr>
        <w:spacing w:after="80"/>
      </w:pPr>
      <w:r>
        <w:t xml:space="preserve">Replace ‘university tuition’ defaults with SA figures: private school R120–R300k p.a., tertiary fees R60–R90k p.a. public, R150k+ private</w:t>
      </w:r>
    </w:p>
    <w:p>
      <w:pPr>
        <w:pStyle w:val="ListParagraph"/>
        <w:numPr>
          <w:ilvl w:val="0"/>
          <w:numId w:val="2"/>
        </w:numPr>
        <w:spacing w:after="80"/>
      </w:pPr>
      <w:r>
        <w:t xml:space="preserve">Add ‘emigration / financial emigration’ life event — triggers Exchange Control, retirement fund withdrawal rules post-three-year tax non-residency</w:t>
      </w:r>
    </w:p>
    <w:p>
      <w:pPr>
        <w:pStyle w:val="ListParagraph"/>
        <w:numPr>
          <w:ilvl w:val="0"/>
          <w:numId w:val="2"/>
        </w:numPr>
        <w:spacing w:after="80"/>
      </w:pPr>
      <w:r>
        <w:t xml:space="preserve">Add ‘retrenchment’ life event — triggers R500,000 severance benefit tax-free threshold (same table as retirement lump sum)</w:t>
      </w:r>
    </w:p>
    <w:p>
      <w:pPr>
        <w:pStyle w:val="ListParagraph"/>
        <w:numPr>
          <w:ilvl w:val="0"/>
          <w:numId w:val="2"/>
        </w:numPr>
        <w:spacing w:after="80"/>
      </w:pPr>
      <w:r>
        <w:t xml:space="preserve">Goal currency — default ZAR but allow per-goal override for offshore goals (USD, GBP, EUR)</w:t>
      </w:r>
    </w:p>
    <w:p>
      <w:r>
        <w:br w:type="page"/>
      </w:r>
    </w:p>
    <w:p>
      <w:pPr>
        <w:pStyle w:val="Heading1"/>
        <w:spacing w:after="160" w:before="280"/>
      </w:pPr>
      <w:r>
        <w:t xml:space="preserve">12. Module mapping: Coordination</w:t>
      </w:r>
    </w:p>
    <w:p>
      <w:pPr>
        <w:spacing w:after="120"/>
      </w:pPr>
      <w:r>
        <w:t xml:space="preserve">The CoordinatingAgent re-aggregates all modules. In SA the aggregation logic changes because:</w:t>
      </w:r>
    </w:p>
    <w:p>
      <w:pPr>
        <w:pStyle w:val="ListParagraph"/>
        <w:numPr>
          <w:ilvl w:val="0"/>
          <w:numId w:val="2"/>
        </w:numPr>
        <w:spacing w:after="80"/>
      </w:pPr>
      <w:r>
        <w:t xml:space="preserve">Retirement balances are now tri-bucketed (vested / savings / retirement) — dashboards must net these correctly</w:t>
      </w:r>
    </w:p>
    <w:p>
      <w:pPr>
        <w:pStyle w:val="ListParagraph"/>
        <w:numPr>
          <w:ilvl w:val="0"/>
          <w:numId w:val="2"/>
        </w:numPr>
        <w:spacing w:after="80"/>
      </w:pPr>
      <w:r>
        <w:t xml:space="preserve">Offshore vs onshore split is a first-class dashboard widget (shows SDA and FIA used)</w:t>
      </w:r>
    </w:p>
    <w:p>
      <w:pPr>
        <w:pStyle w:val="ListParagraph"/>
        <w:numPr>
          <w:ilvl w:val="0"/>
          <w:numId w:val="2"/>
        </w:numPr>
        <w:spacing w:after="80"/>
      </w:pPr>
      <w:r>
        <w:t xml:space="preserve">Estate duty liability projection must include retirement annuities correctly — RAs are NOT dutiable (section 3(2)(bA) exclusion) but living annuity residues ARE included in the income of beneficiaries</w:t>
      </w:r>
    </w:p>
    <w:p>
      <w:pPr>
        <w:pStyle w:val="ListParagraph"/>
        <w:numPr>
          <w:ilvl w:val="0"/>
          <w:numId w:val="2"/>
        </w:numPr>
        <w:spacing w:after="80"/>
      </w:pPr>
      <w:r>
        <w:t xml:space="preserve">TFSA appears in Savings and in Investment — de-duplicate in totals (same rule UK had for ISAs)</w:t>
      </w:r>
    </w:p>
    <w:p>
      <w:r>
        <w:br w:type="page"/>
      </w:r>
    </w:p>
    <w:p>
      <w:pPr>
        <w:pStyle w:val="Heading1"/>
        <w:spacing w:after="160" w:before="280"/>
      </w:pPr>
      <w:r>
        <w:t xml:space="preserve">13. New SA-only modules</w:t>
      </w:r>
    </w:p>
    <w:p>
      <w:pPr>
        <w:pStyle w:val="Heading2"/>
        <w:spacing w:after="160" w:before="280"/>
      </w:pPr>
      <w:r>
        <w:t xml:space="preserve">13.1 Two-Pot Tracker</w:t>
      </w:r>
    </w:p>
    <w:p>
      <w:pPr>
        <w:spacing w:after="120"/>
      </w:pPr>
      <w:r>
        <w:t xml:space="preserve">A new service (TwoPotTracker) that, given a fund record and contribution ledger, produces vested_balance, savings_balance, retirement_balance and the projected 1 September 2024+ split for future contributions. Backed by:</w:t>
      </w:r>
    </w:p>
    <w:p>
      <w:pPr>
        <w:pStyle w:val="ListParagraph"/>
        <w:numPr>
          <w:ilvl w:val="0"/>
          <w:numId w:val="2"/>
        </w:numPr>
        <w:spacing w:after="80"/>
      </w:pPr>
      <w:r>
        <w:t xml:space="preserve">retirement_fund_buckets table (bucket_type, fund_id, opening_balance, transactions)</w:t>
      </w:r>
    </w:p>
    <w:p>
      <w:pPr>
        <w:pStyle w:val="ListParagraph"/>
        <w:numPr>
          <w:ilvl w:val="0"/>
          <w:numId w:val="2"/>
        </w:numPr>
        <w:spacing w:after="80"/>
      </w:pPr>
      <w:r>
        <w:t xml:space="preserve">contribution_split_service — applies the 1/3 – 2/3 split to every new contribution from 1 Sept 2024 onwards</w:t>
      </w:r>
    </w:p>
    <w:p>
      <w:pPr>
        <w:pStyle w:val="ListParagraph"/>
        <w:numPr>
          <w:ilvl w:val="0"/>
          <w:numId w:val="2"/>
        </w:numPr>
        <w:spacing w:after="80"/>
      </w:pPr>
      <w:r>
        <w:t xml:space="preserve">Savings-pot withdrawal simulator: given amount X, projects marginal tax hit using current-year cumulative income</w:t>
      </w:r>
    </w:p>
    <w:p>
      <w:pPr>
        <w:pStyle w:val="Heading2"/>
        <w:spacing w:after="160" w:before="280"/>
      </w:pPr>
      <w:r>
        <w:t xml:space="preserve">13.2 Exchange Control Ledger</w:t>
      </w:r>
    </w:p>
    <w:p>
      <w:pPr>
        <w:pStyle w:val="ListParagraph"/>
        <w:numPr>
          <w:ilvl w:val="0"/>
          <w:numId w:val="2"/>
        </w:numPr>
        <w:spacing w:after="80"/>
      </w:pPr>
      <w:r>
        <w:t xml:space="preserve">Calendar-year ledger of SDA and FIA consumption</w:t>
      </w:r>
    </w:p>
    <w:p>
      <w:pPr>
        <w:pStyle w:val="ListParagraph"/>
        <w:numPr>
          <w:ilvl w:val="0"/>
          <w:numId w:val="2"/>
        </w:numPr>
        <w:spacing w:after="80"/>
      </w:pPr>
      <w:r>
        <w:t xml:space="preserve">AIT workflow stubs — documents checklist (IT14SD, IT77C, tax compliance status)</w:t>
      </w:r>
    </w:p>
    <w:p>
      <w:pPr>
        <w:pStyle w:val="ListParagraph"/>
        <w:numPr>
          <w:ilvl w:val="0"/>
          <w:numId w:val="2"/>
        </w:numPr>
        <w:spacing w:after="80"/>
      </w:pPr>
      <w:r>
        <w:t xml:space="preserve">Offshore destination record (country, authorised dealer, recipient account)</w:t>
      </w:r>
    </w:p>
    <w:p>
      <w:pPr>
        <w:pStyle w:val="Heading2"/>
        <w:spacing w:after="160" w:before="280"/>
      </w:pPr>
      <w:r>
        <w:t xml:space="preserve">13.3 Reg 28 Monitor</w:t>
      </w:r>
    </w:p>
    <w:p>
      <w:pPr>
        <w:pStyle w:val="ListParagraph"/>
        <w:numPr>
          <w:ilvl w:val="0"/>
          <w:numId w:val="2"/>
        </w:numPr>
        <w:spacing w:after="80"/>
      </w:pPr>
      <w:r>
        <w:t xml:space="preserve">Look-through asset allocation across retirement holdings</w:t>
      </w:r>
    </w:p>
    <w:p>
      <w:pPr>
        <w:pStyle w:val="ListParagraph"/>
        <w:numPr>
          <w:ilvl w:val="0"/>
          <w:numId w:val="2"/>
        </w:numPr>
        <w:spacing w:after="80"/>
      </w:pPr>
      <w:r>
        <w:t xml:space="preserve">Per-fund compliance flag plus whole-portfolio compliance flag</w:t>
      </w:r>
    </w:p>
    <w:p>
      <w:pPr>
        <w:pStyle w:val="ListParagraph"/>
        <w:numPr>
          <w:ilvl w:val="0"/>
          <w:numId w:val="2"/>
        </w:numPr>
        <w:spacing w:after="80"/>
      </w:pPr>
      <w:r>
        <w:t xml:space="preserve">Suggested rebalancing where a breach exists</w:t>
      </w:r>
    </w:p>
    <w:p>
      <w:pPr>
        <w:pStyle w:val="Heading2"/>
        <w:spacing w:after="160" w:before="280"/>
      </w:pPr>
      <w:r>
        <w:t xml:space="preserve">13.4 Tax Compliance Status / SARS eFiling link</w:t>
      </w:r>
    </w:p>
    <w:p>
      <w:pPr>
        <w:pStyle w:val="ListParagraph"/>
        <w:numPr>
          <w:ilvl w:val="0"/>
          <w:numId w:val="2"/>
        </w:numPr>
        <w:spacing w:after="80"/>
      </w:pPr>
      <w:r>
        <w:t xml:space="preserve">A field on the user profile for the SARS tax reference number</w:t>
      </w:r>
    </w:p>
    <w:p>
      <w:pPr>
        <w:pStyle w:val="ListParagraph"/>
        <w:numPr>
          <w:ilvl w:val="0"/>
          <w:numId w:val="2"/>
        </w:numPr>
        <w:spacing w:after="80"/>
      </w:pPr>
      <w:r>
        <w:t xml:space="preserve">A status record for Tax Compliance Status PIN (used for FIA approval)</w:t>
      </w:r>
    </w:p>
    <w:p>
      <w:pPr>
        <w:pStyle w:val="ListParagraph"/>
        <w:numPr>
          <w:ilvl w:val="0"/>
          <w:numId w:val="2"/>
        </w:numPr>
        <w:spacing w:after="80"/>
      </w:pPr>
      <w:r>
        <w:t xml:space="preserve">No API integration in v1 — just data capture and workflow reminders</w:t>
      </w:r>
    </w:p>
    <w:p>
      <w:r>
        <w:br w:type="page"/>
      </w:r>
    </w:p>
    <w:p>
      <w:pPr>
        <w:pStyle w:val="Heading1"/>
        <w:spacing w:after="160" w:before="280"/>
      </w:pPr>
      <w:r>
        <w:t xml:space="preserve">14. Technical architecture — what changes, what stays</w:t>
      </w:r>
    </w:p>
    <w:p>
      <w:pPr>
        <w:pStyle w:val="Heading2"/>
        <w:spacing w:after="160" w:before="280"/>
      </w:pPr>
      <w:r>
        <w:t xml:space="preserve">14.1 Stays as-is</w:t>
      </w:r>
    </w:p>
    <w:p>
      <w:pPr>
        <w:pStyle w:val="ListParagraph"/>
        <w:numPr>
          <w:ilvl w:val="0"/>
          <w:numId w:val="2"/>
        </w:numPr>
        <w:spacing w:after="80"/>
      </w:pPr>
      <w:r>
        <w:t xml:space="preserve">Laravel 10 + Vue.js 3 + MySQL 8 stack</w:t>
      </w:r>
    </w:p>
    <w:p>
      <w:pPr>
        <w:pStyle w:val="ListParagraph"/>
        <w:numPr>
          <w:ilvl w:val="0"/>
          <w:numId w:val="2"/>
        </w:numPr>
        <w:spacing w:after="80"/>
      </w:pPr>
      <w:r>
        <w:t xml:space="preserve">Overall folder layout: app/Agents, app/Services/{Module}, Http/Controllers/Api, Http/Requests, Http/Resources, Traits, Constants, Observers, Exceptions</w:t>
      </w:r>
    </w:p>
    <w:p>
      <w:pPr>
        <w:pStyle w:val="ListParagraph"/>
        <w:numPr>
          <w:ilvl w:val="0"/>
          <w:numId w:val="2"/>
        </w:numPr>
        <w:spacing w:after="80"/>
      </w:pPr>
      <w:r>
        <w:t xml:space="preserve">Vuex-based state management, 31 namespaced modules pattern</w:t>
      </w:r>
    </w:p>
    <w:p>
      <w:pPr>
        <w:pStyle w:val="ListParagraph"/>
        <w:numPr>
          <w:ilvl w:val="0"/>
          <w:numId w:val="2"/>
        </w:numPr>
        <w:spacing w:after="80"/>
      </w:pPr>
      <w:r>
        <w:t xml:space="preserve">Pest test framework, Auditable / HasJointOwnership / FormatsCurrency / StructuredLogging traits</w:t>
      </w:r>
    </w:p>
    <w:p>
      <w:pPr>
        <w:pStyle w:val="ListParagraph"/>
        <w:numPr>
          <w:ilvl w:val="0"/>
          <w:numId w:val="2"/>
        </w:numPr>
        <w:spacing w:after="80"/>
      </w:pPr>
      <w:r>
        <w:t xml:space="preserve">Preview-mode infrastructure (preview users, PreviewWriteInterceptor middleware) — retained with SA personas</w:t>
      </w:r>
    </w:p>
    <w:p>
      <w:pPr>
        <w:pStyle w:val="ListParagraph"/>
        <w:numPr>
          <w:ilvl w:val="0"/>
          <w:numId w:val="2"/>
        </w:numPr>
        <w:spacing w:after="80"/>
      </w:pPr>
      <w:r>
        <w:t xml:space="preserve">Design system: raspberry / horizon / spring / violet / savannah / eggshell — unchanged</w:t>
      </w:r>
    </w:p>
    <w:p>
      <w:pPr>
        <w:pStyle w:val="ListParagraph"/>
        <w:numPr>
          <w:ilvl w:val="0"/>
          <w:numId w:val="2"/>
        </w:numPr>
        <w:spacing w:after="80"/>
      </w:pPr>
      <w:r>
        <w:t xml:space="preserve">Capacitor iOS mobile shell — rebranded Fynla SA with a new bundle id</w:t>
      </w:r>
    </w:p>
    <w:p>
      <w:pPr>
        <w:pStyle w:val="Heading2"/>
        <w:spacing w:after="160" w:before="280"/>
      </w:pPr>
      <w:r>
        <w:t xml:space="preserve">14.2 Changes</w:t>
      </w:r>
    </w:p>
    <w:p>
      <w:pPr>
        <w:pStyle w:val="ListParagraph"/>
        <w:numPr>
          <w:ilvl w:val="0"/>
          <w:numId w:val="2"/>
        </w:numPr>
        <w:spacing w:after="80"/>
      </w:pPr>
      <w:r>
        <w:t xml:space="preserve">New Agents: RetirementAgent rewritten, EstateAgent rewritten, ProtectionAgent adjusted, new ExchangeControlAgent</w:t>
      </w:r>
    </w:p>
    <w:p>
      <w:pPr>
        <w:pStyle w:val="ListParagraph"/>
        <w:numPr>
          <w:ilvl w:val="0"/>
          <w:numId w:val="2"/>
        </w:numPr>
        <w:spacing w:after="80"/>
      </w:pPr>
      <w:r>
        <w:t xml:space="preserve">TaxConfigService completely rewritten — UK tax_configurations table schema replaced by SA schema (income_tax_brackets, rebates, medical_credits, section_11f, cgt, dwt, interest_exemption, estate_duty, donations_tax)</w:t>
      </w:r>
    </w:p>
    <w:p>
      <w:pPr>
        <w:pStyle w:val="ListParagraph"/>
        <w:numPr>
          <w:ilvl w:val="0"/>
          <w:numId w:val="2"/>
        </w:numPr>
        <w:spacing w:after="80"/>
      </w:pPr>
      <w:r>
        <w:t xml:space="preserve">Seeders: TaxConfigurationSeeder (SA), SAProductReferenceSeeder, PreviewUserSeeder (SA personas), ActuarialLifeTablesSeeder (replace ONS life expectancy with Stats SA / ASSA life tables)</w:t>
      </w:r>
    </w:p>
    <w:p>
      <w:pPr>
        <w:pStyle w:val="ListParagraph"/>
        <w:numPr>
          <w:ilvl w:val="0"/>
          <w:numId w:val="2"/>
        </w:numPr>
        <w:spacing w:after="80"/>
      </w:pPr>
      <w:r>
        <w:t xml:space="preserve">Frontend currency formatter defaults to en-ZA + ZAR</w:t>
      </w:r>
    </w:p>
    <w:p>
      <w:pPr>
        <w:pStyle w:val="ListParagraph"/>
        <w:numPr>
          <w:ilvl w:val="0"/>
          <w:numId w:val="2"/>
        </w:numPr>
        <w:spacing w:after="80"/>
      </w:pPr>
      <w:r>
        <w:t xml:space="preserve">Date formatter defaults to DD MMM YYYY (SA convention) with explicit tax year annotations (e.g. ‘2026/27’)</w:t>
      </w:r>
    </w:p>
    <w:p>
      <w:pPr>
        <w:pStyle w:val="ListParagraph"/>
        <w:numPr>
          <w:ilvl w:val="0"/>
          <w:numId w:val="2"/>
        </w:numPr>
        <w:spacing w:after="80"/>
      </w:pPr>
      <w:r>
        <w:t xml:space="preserve">Validation: ID number validator (13-digit SA ID with Luhn check + embedded DOB + citizenship digit) replaces UK NI number</w:t>
      </w:r>
    </w:p>
    <w:p>
      <w:pPr>
        <w:pStyle w:val="ListParagraph"/>
        <w:numPr>
          <w:ilvl w:val="0"/>
          <w:numId w:val="2"/>
        </w:numPr>
        <w:spacing w:after="80"/>
      </w:pPr>
      <w:r>
        <w:t xml:space="preserve">Banking: replace sort-code + 8-digit account with 6-digit universal branch code + account number, and Payshap identifiers</w:t>
      </w:r>
    </w:p>
    <w:p>
      <w:pPr>
        <w:pStyle w:val="Heading2"/>
        <w:spacing w:after="160" w:before="280"/>
      </w:pPr>
      <w:r>
        <w:t xml:space="preserve">14.3 Environment / deploy</w:t>
      </w:r>
    </w:p>
    <w:p>
      <w:pPr>
        <w:pStyle w:val="ListParagraph"/>
        <w:numPr>
          <w:ilvl w:val="0"/>
          <w:numId w:val="2"/>
        </w:numPr>
        <w:spacing w:after="80"/>
      </w:pPr>
      <w:r>
        <w:t xml:space="preserve">Separate production host (e.g. SiteGround / Afrihost / Xneelo — user preference)</w:t>
      </w:r>
    </w:p>
    <w:p>
      <w:pPr>
        <w:pStyle w:val="ListParagraph"/>
        <w:numPr>
          <w:ilvl w:val="0"/>
          <w:numId w:val="2"/>
        </w:numPr>
        <w:spacing w:after="80"/>
      </w:pPr>
      <w:r>
        <w:t xml:space="preserve">Separate .env, separate Stripe / Paystack / Payfast account for ZAR billing</w:t>
      </w:r>
    </w:p>
    <w:p>
      <w:pPr>
        <w:pStyle w:val="ListParagraph"/>
        <w:numPr>
          <w:ilvl w:val="0"/>
          <w:numId w:val="2"/>
        </w:numPr>
        <w:spacing w:after="80"/>
      </w:pPr>
      <w:r>
        <w:t xml:space="preserve">Separate Sentry DSN, separate audit-log bucket</w:t>
      </w:r>
    </w:p>
    <w:p>
      <w:pPr>
        <w:pStyle w:val="ListParagraph"/>
        <w:numPr>
          <w:ilvl w:val="0"/>
          <w:numId w:val="2"/>
        </w:numPr>
        <w:spacing w:after="80"/>
      </w:pPr>
      <w:r>
        <w:t xml:space="preserve">deploy/fynla-sa/build.sh mirrors deploy/fynla-org/build.sh</w:t>
      </w:r>
    </w:p>
    <w:p>
      <w:r>
        <w:br w:type="page"/>
      </w:r>
    </w:p>
    <w:p>
      <w:pPr>
        <w:pStyle w:val="Heading1"/>
        <w:spacing w:after="160" w:before="280"/>
      </w:pPr>
      <w:r>
        <w:t xml:space="preserve">15. Code-level impact inventory</w:t>
      </w:r>
    </w:p>
    <w:p>
      <w:pPr>
        <w:spacing w:after="120"/>
      </w:pPr>
      <w:r>
        <w:t xml:space="preserve">First-order inventory derived from the Fynla project metrics (660 Vue components, 233 PHP services, 94 controllers, 94 models, 32 Vuex stores, 9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500"/>
        <w:gridCol w:w="2500"/>
        <w:gridCol w:w="1660"/>
      </w:tblGrid>
      <w:tr>
        <w:trPr>
          <w:tblHeader/>
        </w:trPr>
        <w:tc>
          <w:tcPr>
            <w:tcW w:type="dxa" w:w="18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Layer</w:t>
            </w:r>
          </w:p>
        </w:tc>
        <w:tc>
          <w:tcPr>
            <w:tcW w:type="dxa" w:w="9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Items</w:t>
            </w:r>
          </w:p>
        </w:tc>
        <w:tc>
          <w:tcPr>
            <w:tcW w:type="dxa" w:w="25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Delete</w:t>
            </w:r>
          </w:p>
        </w:tc>
        <w:tc>
          <w:tcPr>
            <w:tcW w:type="dxa" w:w="25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Rewrite</w:t>
            </w:r>
          </w:p>
        </w:tc>
        <w:tc>
          <w:tcPr>
            <w:tcW w:type="dxa" w:w="16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Keep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Agents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 (Protection, Savings, Investment, Retirement, Estate)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 (Coordinating, Goals, plus 2 new SA agents added)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Services (214 domain services)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214</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 (UK-specific — IHT, ISA, SIPP, UFPLS, DB transfer, gift-in-normal-expenditure, NRB/RNRB)</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~110 (tax, retirement, estate, investment, protection core)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~64 (currency, logging, audit, validation, formatting, goal tracking)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Controllers (94)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94</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~29</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Models (94)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94</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 (schema changes)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~39</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Vuex stores (32)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32</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Vue components (660)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660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 (UK wizards, ISA / SIPP forms)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~300 (forms &amp; widgets that display tax/pension values)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~310 (generic UI, layout, shared charts)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Traits (9)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(CalculatesOwnershipShare — check SA joint-ownership nuances)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Constants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(TaxDefaults, EstateDefaults — SA versions)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(ValidationLimits — SA values)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Observers (12)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 (risk recalc on tax-engine change)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Seeders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UK TaxConfiguration, TaxProductReference, PreviewUser, ActuarialLifeTables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All above rebuilt for SA</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Factories (46)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46</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~27</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Migrations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New SA-specific migrations: exchange_control_ledger, retirement_fund_buckets, tax_compliance_statuses, donations_register, estate_duty_projections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Existing schema core largely preserved</w:t>
            </w:r>
          </w:p>
        </w:tc>
      </w:tr>
    </w:tbl>
    <w:p>
      <w:pPr>
        <w:spacing w:after="120"/>
      </w:pPr>
      <w:r>
        <w:t xml:space="preserve">Approximate headline: 40–45% of the codebase is directly impacted; ~55% (generic UI, auth, layout, shared infrastructure) is reusable.</w:t>
      </w:r>
    </w:p>
    <w:p>
      <w:r>
        <w:br w:type="page"/>
      </w:r>
    </w:p>
    <w:p>
      <w:pPr>
        <w:pStyle w:val="Heading1"/>
        <w:spacing w:after="160" w:before="280"/>
      </w:pPr>
      <w:r>
        <w:t xml:space="preserve">16. Data model &amp; database migrations</w:t>
      </w:r>
    </w:p>
    <w:p>
      <w:pPr>
        <w:pStyle w:val="Heading2"/>
        <w:spacing w:after="160" w:before="280"/>
      </w:pPr>
      <w:r>
        <w:t xml:space="preserve">16.1 New tables</w:t>
      </w:r>
    </w:p>
    <w:p>
      <w:pPr>
        <w:pStyle w:val="ListParagraph"/>
        <w:numPr>
          <w:ilvl w:val="0"/>
          <w:numId w:val="2"/>
        </w:numPr>
        <w:spacing w:after="80"/>
      </w:pPr>
      <w:r>
        <w:t xml:space="preserve">retirement_fund_buckets — (id, fund_id, bucket_type, balance, as_at_date)</w:t>
      </w:r>
    </w:p>
    <w:p>
      <w:pPr>
        <w:pStyle w:val="ListParagraph"/>
        <w:numPr>
          <w:ilvl w:val="0"/>
          <w:numId w:val="2"/>
        </w:numPr>
        <w:spacing w:after="80"/>
      </w:pPr>
      <w:r>
        <w:t xml:space="preserve">retirement_fund_contributions — (id, fund_id, contribution_date, amount, split_savings, split_retirement)</w:t>
      </w:r>
    </w:p>
    <w:p>
      <w:pPr>
        <w:pStyle w:val="ListParagraph"/>
        <w:numPr>
          <w:ilvl w:val="0"/>
          <w:numId w:val="2"/>
        </w:numPr>
        <w:spacing w:after="80"/>
      </w:pPr>
      <w:r>
        <w:t xml:space="preserve">exchange_control_ledger — (id, user_id, calendar_year, allowance_type, amount_zar, destination_country, authorised_dealer, ait_reference, transfer_date, notes)</w:t>
      </w:r>
    </w:p>
    <w:p>
      <w:pPr>
        <w:pStyle w:val="ListParagraph"/>
        <w:numPr>
          <w:ilvl w:val="0"/>
          <w:numId w:val="2"/>
        </w:numPr>
        <w:spacing w:after="80"/>
      </w:pPr>
      <w:r>
        <w:t xml:space="preserve">tax_compliance_statuses — (id, user_id, tcs_pin, issued_at, expires_at, purpose)</w:t>
      </w:r>
    </w:p>
    <w:p>
      <w:pPr>
        <w:pStyle w:val="ListParagraph"/>
        <w:numPr>
          <w:ilvl w:val="0"/>
          <w:numId w:val="2"/>
        </w:numPr>
        <w:spacing w:after="80"/>
      </w:pPr>
      <w:r>
        <w:t xml:space="preserve">donations_register — (id, donor_id, donee_name, donee_relationship, tax_year, amount, exemption_applied)</w:t>
      </w:r>
    </w:p>
    <w:p>
      <w:pPr>
        <w:pStyle w:val="ListParagraph"/>
        <w:numPr>
          <w:ilvl w:val="0"/>
          <w:numId w:val="2"/>
        </w:numPr>
        <w:spacing w:after="80"/>
      </w:pPr>
      <w:r>
        <w:t xml:space="preserve">reg28_snapshots — (id, user_id, as_at_date, offshore_pct, equity_pct, property_pct, private_equity_pct, single_entity_pct, compliant)</w:t>
      </w:r>
    </w:p>
    <w:p>
      <w:pPr>
        <w:pStyle w:val="ListParagraph"/>
        <w:numPr>
          <w:ilvl w:val="0"/>
          <w:numId w:val="2"/>
        </w:numPr>
        <w:spacing w:after="80"/>
      </w:pPr>
      <w:r>
        <w:t xml:space="preserve">estate_duty_projections — (id, user_id, projection_date, dutiable_value, abatement_used, spousal_rollover_available, projected_duty)</w:t>
      </w:r>
    </w:p>
    <w:p>
      <w:pPr>
        <w:pStyle w:val="ListParagraph"/>
        <w:numPr>
          <w:ilvl w:val="0"/>
          <w:numId w:val="2"/>
        </w:numPr>
        <w:spacing w:after="80"/>
      </w:pPr>
      <w:r>
        <w:t xml:space="preserve">tfsa_contributions — (id, user_id, tax_year, provider, amount)</w:t>
      </w:r>
    </w:p>
    <w:p>
      <w:pPr>
        <w:pStyle w:val="Heading2"/>
        <w:spacing w:after="160" w:before="280"/>
      </w:pPr>
      <w:r>
        <w:t xml:space="preserve">16.2 Modified tables</w:t>
      </w:r>
    </w:p>
    <w:p>
      <w:pPr>
        <w:pStyle w:val="ListParagraph"/>
        <w:numPr>
          <w:ilvl w:val="0"/>
          <w:numId w:val="2"/>
        </w:numPr>
        <w:spacing w:after="80"/>
      </w:pPr>
      <w:r>
        <w:t xml:space="preserve">tax_configurations — replace UK schema with SA bracket/rebate/credit/exemption records</w:t>
      </w:r>
    </w:p>
    <w:p>
      <w:pPr>
        <w:pStyle w:val="ListParagraph"/>
        <w:numPr>
          <w:ilvl w:val="0"/>
          <w:numId w:val="2"/>
        </w:numPr>
        <w:spacing w:after="80"/>
      </w:pPr>
      <w:r>
        <w:t xml:space="preserve">protection_policies — add product_type, severity_tier, waiting_period_months, benefit_term_months, beneficiary_type enum</w:t>
      </w:r>
    </w:p>
    <w:p>
      <w:pPr>
        <w:pStyle w:val="ListParagraph"/>
        <w:numPr>
          <w:ilvl w:val="0"/>
          <w:numId w:val="2"/>
        </w:numPr>
        <w:spacing w:after="80"/>
      </w:pPr>
      <w:r>
        <w:t xml:space="preserve">investment_accounts — add wrapper enum (discretionary, tfsa, endowment, offshore_discretionary) and base_currency</w:t>
      </w:r>
    </w:p>
    <w:p>
      <w:pPr>
        <w:pStyle w:val="ListParagraph"/>
        <w:numPr>
          <w:ilvl w:val="0"/>
          <w:numId w:val="2"/>
        </w:numPr>
        <w:spacing w:after="80"/>
      </w:pPr>
      <w:r>
        <w:t xml:space="preserve">retirement_funds — add fund_type, sponsor, includes_pre_2021_provident_portion, has_guarantee_certificate</w:t>
      </w:r>
    </w:p>
    <w:p>
      <w:pPr>
        <w:pStyle w:val="ListParagraph"/>
        <w:numPr>
          <w:ilvl w:val="0"/>
          <w:numId w:val="2"/>
        </w:numPr>
        <w:spacing w:after="80"/>
      </w:pPr>
      <w:r>
        <w:t xml:space="preserve">users — add sa_id_number (13 char, nullable for non-citizens), passport_number, tax_reference</w:t>
      </w:r>
    </w:p>
    <w:p>
      <w:pPr>
        <w:pStyle w:val="Heading2"/>
        <w:spacing w:after="160" w:before="280"/>
      </w:pPr>
      <w:r>
        <w:t xml:space="preserve">16.3 Dropped tables / fields</w:t>
      </w:r>
    </w:p>
    <w:p>
      <w:pPr>
        <w:pStyle w:val="ListParagraph"/>
        <w:numPr>
          <w:ilvl w:val="0"/>
          <w:numId w:val="2"/>
        </w:numPr>
        <w:spacing w:after="80"/>
      </w:pPr>
      <w:r>
        <w:t xml:space="preserve">isa_contributions, lifetime_allowance_records, sipp_defined_benefit_transfers, ufpls_events</w:t>
      </w:r>
    </w:p>
    <w:p>
      <w:pPr>
        <w:pStyle w:val="ListParagraph"/>
        <w:numPr>
          <w:ilvl w:val="0"/>
          <w:numId w:val="2"/>
        </w:numPr>
        <w:spacing w:after="80"/>
      </w:pPr>
      <w:r>
        <w:t xml:space="preserve">rnrb_trackers, nrb_trackers, gift_records (UK seven-year taper)</w:t>
      </w:r>
    </w:p>
    <w:p>
      <w:r>
        <w:br w:type="page"/>
      </w:r>
    </w:p>
    <w:p>
      <w:pPr>
        <w:pStyle w:val="Heading1"/>
        <w:spacing w:after="160" w:before="280"/>
      </w:pPr>
      <w:r>
        <w:t xml:space="preserve">17. Localisation: currency, date, language, persona set</w:t>
      </w:r>
    </w:p>
    <w:p>
      <w:pPr>
        <w:pStyle w:val="ListParagraph"/>
        <w:numPr>
          <w:ilvl w:val="0"/>
          <w:numId w:val="2"/>
        </w:numPr>
        <w:spacing w:after="80"/>
      </w:pPr>
      <w:r>
        <w:t xml:space="preserve">Currency: ZAR; formatter uses ‘R 1 234 567.89’ with space thousands separator and period decimal (SA Government Gazette convention)</w:t>
      </w:r>
    </w:p>
    <w:p>
      <w:pPr>
        <w:pStyle w:val="ListParagraph"/>
        <w:numPr>
          <w:ilvl w:val="0"/>
          <w:numId w:val="2"/>
        </w:numPr>
        <w:spacing w:after="80"/>
      </w:pPr>
      <w:r>
        <w:t xml:space="preserve">Language: English (en-ZA). Optional future support for Afrikaans (af-ZA), isiZulu (zu-ZA), isiXhosa (xh-ZA), Sesotho (st-ZA) — not in v1</w:t>
      </w:r>
    </w:p>
    <w:p>
      <w:pPr>
        <w:pStyle w:val="ListParagraph"/>
        <w:numPr>
          <w:ilvl w:val="0"/>
          <w:numId w:val="2"/>
        </w:numPr>
        <w:spacing w:after="80"/>
      </w:pPr>
      <w:r>
        <w:t xml:space="preserve">Date format: DD MMM YYYY in copy (e.g. ‘15 April 2026’); DD/MM/YYYY in tabular contexts</w:t>
      </w:r>
    </w:p>
    <w:p>
      <w:pPr>
        <w:pStyle w:val="ListParagraph"/>
        <w:numPr>
          <w:ilvl w:val="0"/>
          <w:numId w:val="2"/>
        </w:numPr>
        <w:spacing w:after="80"/>
      </w:pPr>
      <w:r>
        <w:t xml:space="preserve">Tax year notation: ‘2026/27’ rather than ‘2025–2026’</w:t>
      </w:r>
    </w:p>
    <w:p>
      <w:pPr>
        <w:pStyle w:val="ListParagraph"/>
        <w:numPr>
          <w:ilvl w:val="0"/>
          <w:numId w:val="2"/>
        </w:numPr>
        <w:spacing w:after="80"/>
      </w:pPr>
      <w:r>
        <w:t xml:space="preserve">Spelling: British (optimise / analyse / programme) — same as UK Fynla</w:t>
      </w:r>
    </w:p>
    <w:p>
      <w:pPr>
        <w:pStyle w:val="ListParagraph"/>
        <w:numPr>
          <w:ilvl w:val="0"/>
          <w:numId w:val="2"/>
        </w:numPr>
        <w:spacing w:after="80"/>
      </w:pPr>
      <w:r>
        <w:t xml:space="preserve">Financial year end: 28 February (company year-ends) or individual tax year 1 March – 28/29 February</w:t>
      </w:r>
    </w:p>
    <w:p>
      <w:pPr>
        <w:pStyle w:val="ListParagraph"/>
        <w:numPr>
          <w:ilvl w:val="0"/>
          <w:numId w:val="2"/>
        </w:numPr>
        <w:spacing w:after="80"/>
      </w:pPr>
      <w:r>
        <w:t xml:space="preserve">Currency symbol: ‘R’ prefix (never ‘ZAR’ in user copy except in multi-currency disambiguation contexts)</w:t>
      </w:r>
    </w:p>
    <w:p>
      <w:r>
        <w:br w:type="page"/>
      </w:r>
    </w:p>
    <w:p>
      <w:pPr>
        <w:pStyle w:val="Heading1"/>
        <w:spacing w:after="160" w:before="280"/>
      </w:pPr>
      <w:r>
        <w:t xml:space="preserve">18. Compliance, disclosure &amp; FAIS considerations</w:t>
      </w:r>
    </w:p>
    <w:p>
      <w:pPr>
        <w:pStyle w:val="ListParagraph"/>
        <w:numPr>
          <w:ilvl w:val="0"/>
          <w:numId w:val="2"/>
        </w:numPr>
        <w:spacing w:after="80"/>
      </w:pPr>
      <w:r>
        <w:t xml:space="preserve">FAIS positioning: Fynla SA is a financial planning and information tool, not an FSCA-licensed FSP rendering advice. Every calculation output must carry a guidance disclaimer.</w:t>
      </w:r>
    </w:p>
    <w:p>
      <w:pPr>
        <w:pStyle w:val="ListParagraph"/>
        <w:numPr>
          <w:ilvl w:val="0"/>
          <w:numId w:val="2"/>
        </w:numPr>
        <w:spacing w:after="80"/>
      </w:pPr>
      <w:r>
        <w:t xml:space="preserve">If Fynla SA ever moves to recommend specific products, it must operate under a Category I or II FSP licence, with a licensed Key Individual and appointed Representatives. This is a strategic decision, not a v1 scope item.</w:t>
      </w:r>
    </w:p>
    <w:p>
      <w:pPr>
        <w:pStyle w:val="ListParagraph"/>
        <w:numPr>
          <w:ilvl w:val="0"/>
          <w:numId w:val="2"/>
        </w:numPr>
        <w:spacing w:after="80"/>
      </w:pPr>
      <w:r>
        <w:t xml:space="preserve">POPIA compliance: explicit opt-in for marketing, Information Officer registration with the Information Regulator, data subject access request workflow, breach notification within 72 hours.</w:t>
      </w:r>
    </w:p>
    <w:p>
      <w:pPr>
        <w:pStyle w:val="ListParagraph"/>
        <w:numPr>
          <w:ilvl w:val="0"/>
          <w:numId w:val="2"/>
        </w:numPr>
        <w:spacing w:after="80"/>
      </w:pPr>
      <w:r>
        <w:t xml:space="preserve">FICA: if Fynla SA holds any client money or transacts, KYC levels apply. v1 does not transact — but the on-boarding flow must collect the information that would later be needed (ID, proof of address within 3 months, source of funds) so that a later transactional pivot is not blocked.</w:t>
      </w:r>
    </w:p>
    <w:p>
      <w:pPr>
        <w:pStyle w:val="ListParagraph"/>
        <w:numPr>
          <w:ilvl w:val="0"/>
          <w:numId w:val="2"/>
        </w:numPr>
        <w:spacing w:after="80"/>
      </w:pPr>
      <w:r>
        <w:t xml:space="preserve">TCF (Treating Customers Fairly) principles: suitable outcomes, clear communication, no unreasonable barriers. Product copy and calculator outputs are reviewed through this lens.</w:t>
      </w:r>
    </w:p>
    <w:p>
      <w:pPr>
        <w:pStyle w:val="ListParagraph"/>
        <w:numPr>
          <w:ilvl w:val="0"/>
          <w:numId w:val="2"/>
        </w:numPr>
        <w:spacing w:after="80"/>
      </w:pPr>
      <w:r>
        <w:t xml:space="preserve">Consumer Protection Act: cooling-off periods, plain-language rule — relevant to any product purchase flow.</w:t>
      </w:r>
    </w:p>
    <w:p>
      <w:pPr>
        <w:pStyle w:val="ListParagraph"/>
        <w:numPr>
          <w:ilvl w:val="0"/>
          <w:numId w:val="2"/>
        </w:numPr>
        <w:spacing w:after="80"/>
      </w:pPr>
      <w:r>
        <w:t xml:space="preserve">Regulation of Advice and Intermediary Services (in COFI) — watch-item for 2026 / 2027 as the statute progresses.</w:t>
      </w:r>
    </w:p>
    <w:p>
      <w:r>
        <w:br w:type="page"/>
      </w:r>
    </w:p>
    <w:p>
      <w:pPr>
        <w:pStyle w:val="Heading1"/>
        <w:spacing w:after="160" w:before="280"/>
      </w:pPr>
      <w:r>
        <w:t xml:space="preserve">19.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Phase</w:t>
            </w:r>
          </w:p>
        </w:tc>
        <w:tc>
          <w:tcPr>
            <w:tcW w:type="dxa" w:w="14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Duration</w:t>
            </w:r>
          </w:p>
        </w:tc>
        <w:tc>
          <w:tcPr>
            <w:tcW w:type="dxa" w:w="55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Deliverables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 Pack scaffold (post-Phase 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week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After the Phase 0 core extraction is complete: cp -r packs/_template packs/country-za, rename namespace to Fynla\Packs\ZA, wire CountryPackServiceProvider, stub SA TaxConfigurationSeeder. No UK code is forked; the UK pack is unaffected.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Tax Engine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weeks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 brackets, rebates, credits, Section 11F/10C, CGT, estate duty, donations tax constants and service, full Pest coverage of the tax service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Savings + TFSA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week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TFSA wrapper, savings products, emergency fund calculator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 Investment + Exchange Control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weeks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Discretionary / endowment / offshore, SDA+FIA ledger, AIT workflow stubs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 Retirement (core)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weeks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RA / PF / PvF / Preservation models, Two-Pot tracker, Reg 28 monitor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 Retirement (decumulation)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week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Living annuity &amp; life annuity calculators, compulsory annuitisation, de minimis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 Protection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week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Life, dread, disability lump/income, funeral — coverage calculators and gap analysis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 Estate Planning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 weeks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Estate duty, donations tax, CGT on death, executor and Master’s fee, testamentary trust data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 Goals / Life Events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0.5 weeks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Refit SA defaults for bond / tertiary / retirement age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 Coordination + dashboard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week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Aggregate across modules, onshore/offshore split widget, Two-Pot balance widget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 Personas + preview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week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Seeded SA personas, preview guardrails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11. Mobile iOS rebuild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week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Capacitor bundle, Face ID, new app store listing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 Beta, compliance review, launch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weeks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FAIS disclaimers, POPIA notice, closed beta</w:t>
            </w:r>
          </w:p>
        </w:tc>
      </w:tr>
    </w:tbl>
    <w:p>
      <w:pPr>
        <w:spacing w:after="120"/>
      </w:pPr>
      <w:r>
        <w:t xml:space="preserve">Total indicative effort: ~16 developer-weeks for a solo full-stack engineer with Fynla familiarity; ~10 weeks with a 2-person team running Tax Engine and Retirement in parallel. This is additional to the 12-week Phase 0 core-extraction programme described in the companion Phase 0 Implementation Guide, which is a prerequisite for this work.</w:t>
      </w:r>
    </w:p>
    <w:p>
      <w:pPr>
        <w:spacing w:after="120"/>
      </w:pPr>
      <w:r>
        <w:t xml:space="preserve">Note (v1.1): the ‘Mobile iOS rebuild’ phase is framed as a new bundle identifier in v1.0. Under the unified-codebase model, the mobile app may instead surface the SA pack conditionally on the authenticated user’s active jurisdictions — the Multi-Country Architecture document discusses domain and App Store strategy (single bundle vs regional bundles) and should be consulted before the mobile workstream starts.</w:t>
      </w:r>
    </w:p>
    <w:p>
      <w:r>
        <w:br w:type="page"/>
      </w:r>
    </w:p>
    <w:p>
      <w:pPr>
        <w:pStyle w:val="Heading1"/>
        <w:spacing w:after="160" w:before="280"/>
      </w:pPr>
      <w:r>
        <w:t xml:space="preserve">20. Risks, open questions &amp; out of scope</w:t>
      </w:r>
    </w:p>
    <w:p>
      <w:pPr>
        <w:pStyle w:val="Heading2"/>
        <w:spacing w:after="160" w:before="280"/>
      </w:pPr>
      <w:r>
        <w:t xml:space="preserve">20.1 Risks</w:t>
      </w:r>
    </w:p>
    <w:p>
      <w:pPr>
        <w:pStyle w:val="ListParagraph"/>
        <w:numPr>
          <w:ilvl w:val="0"/>
          <w:numId w:val="2"/>
        </w:numPr>
        <w:spacing w:after="80"/>
      </w:pPr>
      <w:r>
        <w:t xml:space="preserve">Two-Pot System is still bedding in (since Sept 2024); administrative edge cases (divorce orders, housing loans, emigrated members) may require model updates as SARS / FSCA issue guidance</w:t>
      </w:r>
    </w:p>
    <w:p>
      <w:pPr>
        <w:pStyle w:val="ListParagraph"/>
        <w:numPr>
          <w:ilvl w:val="0"/>
          <w:numId w:val="2"/>
        </w:numPr>
        <w:spacing w:after="80"/>
      </w:pPr>
      <w:r>
        <w:t xml:space="preserve">Annual Budget (February) adjusts rates — Fynla SA must ship a ‘February refresh’ process; the UK has the same cadence but a March Budget</w:t>
      </w:r>
    </w:p>
    <w:p>
      <w:pPr>
        <w:pStyle w:val="ListParagraph"/>
        <w:numPr>
          <w:ilvl w:val="0"/>
          <w:numId w:val="2"/>
        </w:numPr>
        <w:spacing w:after="80"/>
      </w:pPr>
      <w:r>
        <w:t xml:space="preserve">FAIS creep: if user testing shows users treating outputs as advice, the product must either add friction (‘this is not advice’ interstitials, suitability questionnaires) or pursue a licence</w:t>
      </w:r>
    </w:p>
    <w:p>
      <w:pPr>
        <w:pStyle w:val="ListParagraph"/>
        <w:numPr>
          <w:ilvl w:val="0"/>
          <w:numId w:val="2"/>
        </w:numPr>
        <w:spacing w:after="80"/>
      </w:pPr>
      <w:r>
        <w:t xml:space="preserve">Exchange control rules continue to relax (SDA doubled 2026; further liberalisation possible) — keep limits in seeder not code</w:t>
      </w:r>
    </w:p>
    <w:p>
      <w:pPr>
        <w:pStyle w:val="ListParagraph"/>
        <w:numPr>
          <w:ilvl w:val="0"/>
          <w:numId w:val="2"/>
        </w:numPr>
        <w:spacing w:after="80"/>
      </w:pPr>
      <w:r>
        <w:t xml:space="preserve">Regulation 28 amendments (last material one Feb 2022) — the 45% offshore number is the current line; monitor for further change</w:t>
      </w:r>
    </w:p>
    <w:p>
      <w:pPr>
        <w:pStyle w:val="Heading2"/>
        <w:spacing w:after="160" w:before="280"/>
      </w:pPr>
      <w:r>
        <w:t xml:space="preserve">20.2 Open questions for Chris</w:t>
      </w:r>
    </w:p>
    <w:p>
      <w:pPr>
        <w:pStyle w:val="ListParagraph"/>
        <w:numPr>
          <w:ilvl w:val="0"/>
          <w:numId w:val="2"/>
        </w:numPr>
        <w:spacing w:after="80"/>
      </w:pPr>
      <w:r>
        <w:t xml:space="preserve">Do we license a SA life-table set (e.g. ASSA SA85-90) or use Stats SA life expectancy? The UK uses ONS — we need an equivalent signed-off data source</w:t>
      </w:r>
    </w:p>
    <w:p>
      <w:pPr>
        <w:pStyle w:val="ListParagraph"/>
        <w:numPr>
          <w:ilvl w:val="0"/>
          <w:numId w:val="2"/>
        </w:numPr>
        <w:spacing w:after="80"/>
      </w:pPr>
      <w:r>
        <w:t xml:space="preserve">Payment processor: Paystack, Stripe SA, or Payfast for ZAR subscriptions?</w:t>
      </w:r>
    </w:p>
    <w:p>
      <w:pPr>
        <w:pStyle w:val="ListParagraph"/>
        <w:numPr>
          <w:ilvl w:val="0"/>
          <w:numId w:val="2"/>
        </w:numPr>
        <w:spacing w:after="80"/>
      </w:pPr>
      <w:r>
        <w:t xml:space="preserve">Domain: fynla.co.za (target), fynla.africa, or a new SA-specific brand?</w:t>
      </w:r>
    </w:p>
    <w:p>
      <w:pPr>
        <w:pStyle w:val="ListParagraph"/>
        <w:numPr>
          <w:ilvl w:val="0"/>
          <w:numId w:val="2"/>
        </w:numPr>
        <w:spacing w:after="80"/>
      </w:pPr>
      <w:r>
        <w:t xml:space="preserve">Do we support couples who are UK and SA tax residents simultaneously (dual-domicile)? This opens DTA modelling — out of scope for v1</w:t>
      </w:r>
    </w:p>
    <w:p>
      <w:pPr>
        <w:pStyle w:val="ListParagraph"/>
        <w:numPr>
          <w:ilvl w:val="0"/>
          <w:numId w:val="2"/>
        </w:numPr>
        <w:spacing w:after="80"/>
      </w:pPr>
      <w:r>
        <w:t xml:space="preserve">Should the existing UK ‘chris@fynla.org / Password1!’ admin account be replicated as an admin in fynla-sa, or fresh credentials?</w:t>
      </w:r>
    </w:p>
    <w:p>
      <w:pPr>
        <w:pStyle w:val="Heading2"/>
        <w:spacing w:after="160" w:before="280"/>
      </w:pPr>
      <w:r>
        <w:t xml:space="preserve">20.3 Out of scope for v1</w:t>
      </w:r>
    </w:p>
    <w:p>
      <w:pPr>
        <w:pStyle w:val="ListParagraph"/>
        <w:numPr>
          <w:ilvl w:val="0"/>
          <w:numId w:val="2"/>
        </w:numPr>
        <w:spacing w:after="80"/>
      </w:pPr>
      <w:r>
        <w:t xml:space="preserve">Trust accounting (inter vivos trust tax at 45%, attribution rules) beyond flagging existence</w:t>
      </w:r>
    </w:p>
    <w:p>
      <w:pPr>
        <w:pStyle w:val="ListParagraph"/>
        <w:numPr>
          <w:ilvl w:val="0"/>
          <w:numId w:val="2"/>
        </w:numPr>
        <w:spacing w:after="80"/>
      </w:pPr>
      <w:r>
        <w:t xml:space="preserve">Section 12J VCCs (closed to new investment anyway, sunsetted 2021)</w:t>
      </w:r>
    </w:p>
    <w:p>
      <w:pPr>
        <w:pStyle w:val="ListParagraph"/>
        <w:numPr>
          <w:ilvl w:val="0"/>
          <w:numId w:val="2"/>
        </w:numPr>
        <w:spacing w:after="80"/>
      </w:pPr>
      <w:r>
        <w:t xml:space="preserve">GEPF defined-benefit calculations</w:t>
      </w:r>
    </w:p>
    <w:p>
      <w:pPr>
        <w:pStyle w:val="ListParagraph"/>
        <w:numPr>
          <w:ilvl w:val="0"/>
          <w:numId w:val="2"/>
        </w:numPr>
        <w:spacing w:after="80"/>
      </w:pPr>
      <w:r>
        <w:t xml:space="preserve">Medical aid / gap cover modelling (distinct product set — future module)</w:t>
      </w:r>
    </w:p>
    <w:p>
      <w:pPr>
        <w:pStyle w:val="ListParagraph"/>
        <w:numPr>
          <w:ilvl w:val="0"/>
          <w:numId w:val="2"/>
        </w:numPr>
        <w:spacing w:after="80"/>
      </w:pPr>
      <w:r>
        <w:t xml:space="preserve">Crypto asset tax tracking</w:t>
      </w:r>
    </w:p>
    <w:p>
      <w:pPr>
        <w:pStyle w:val="ListParagraph"/>
        <w:numPr>
          <w:ilvl w:val="0"/>
          <w:numId w:val="2"/>
        </w:numPr>
        <w:spacing w:after="80"/>
      </w:pPr>
      <w:r>
        <w:t xml:space="preserve">Multi-currency accounting (offshore assets recorded in foreign ccy but projected in ZAR at spot — full dual-ccy accounting is v2)</w:t>
      </w:r>
    </w:p>
    <w:p>
      <w:r>
        <w:br w:type="page"/>
      </w:r>
    </w:p>
    <w:p>
      <w:pPr>
        <w:pStyle w:val="Heading1"/>
        <w:spacing w:after="160" w:before="280"/>
      </w:pPr>
      <w:r>
        <w:t xml:space="preserve">21. Appendix A — SARS tax tables 2026/27</w:t>
      </w:r>
    </w:p>
    <w:p>
      <w:pPr>
        <w:spacing w:after="120"/>
      </w:pPr>
      <w:r>
        <w:t xml:space="preserve">Individuals and Special Trusts (tax year 1 March 2026 – 28 February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Taxable income (R)</w:t>
            </w:r>
          </w:p>
        </w:tc>
        <w:tc>
          <w:tcPr>
            <w:tcW w:type="dxa" w:w="41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Rate of tax</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 245,100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 of taxable income</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245,101 – 383,100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R44,118 + 26% of the amount above 245,100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383,101 – 530,200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R79,998 + 31% of the amount above 383,100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530,201 – 695,800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R125,599 + 36% of the amount above 530,200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695,801 – 887,000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R185,215 + 39% of the amount above 695,800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887,001 – 1,878,600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R259,783 + 41% of the amount above 887,000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1,878,601 and above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R666,339 + 45% of the amount above 1,878,600</w:t>
            </w:r>
          </w:p>
        </w:tc>
      </w:tr>
    </w:tbl>
    <w:p>
      <w:pPr>
        <w:spacing w:after="120"/>
      </w:pPr>
      <w:r>
        <w:t xml:space="preserve">Rebates and tax thresholds (2026/27): primary rebate R17,820 (threshold R99,000); secondary +R9,570 (65–74, threshold R148,217); tertiary +R3,145 (75+, threshold R165,689).</w:t>
      </w:r>
    </w:p>
    <w:p>
      <w:r>
        <w:br w:type="page"/>
      </w:r>
    </w:p>
    <w:p>
      <w:pPr>
        <w:pStyle w:val="Heading1"/>
        <w:spacing w:after="160" w:before="280"/>
      </w:pPr>
      <w:r>
        <w:t xml:space="preserve">22. Appendix B — Retirement lump-sum tax tables</w:t>
      </w:r>
    </w:p>
    <w:p>
      <w:pPr>
        <w:spacing w:after="120"/>
      </w:pPr>
      <w:r>
        <w:t xml:space="preserve">Retirement (on retirement, death, or severance benefit) — cumulative: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Lump sum (R)</w:t>
            </w:r>
          </w:p>
        </w:tc>
        <w:tc>
          <w:tcPr>
            <w:tcW w:type="dxa" w:w="41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Rate</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 – 550,000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550,001 – 770,000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 above 550,000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770,001 – 1,155,000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R39,600 + 27% above 770,000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1,155,001 and above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R143,550 + 36% above 1,155,000</w:t>
            </w:r>
          </w:p>
        </w:tc>
      </w:tr>
    </w:tbl>
    <w:p>
      <w:pPr>
        <w:spacing w:after="120"/>
      </w:pPr>
      <w:r>
        <w:t xml:space="preserve">Withdrawal (pre-retirement withdrawal, divorce, emigration access) — cumulative: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Withdrawal (R)</w:t>
            </w:r>
          </w:p>
        </w:tc>
        <w:tc>
          <w:tcPr>
            <w:tcW w:type="dxa" w:w="41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Rate</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 – 27,500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27,501 – 726,000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 above 27,500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726,001 – 1,089,000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R125,730 + 27% above 726,000</w:t>
            </w:r>
          </w:p>
        </w:tc>
      </w:tr>
      <w:tr>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1,089,001 and above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R223,740 + 36% above 1,089,000</w:t>
            </w:r>
          </w:p>
        </w:tc>
      </w:tr>
    </w:tbl>
    <w:p>
      <w:r>
        <w:br w:type="page"/>
      </w:r>
    </w:p>
    <w:p>
      <w:pPr>
        <w:pStyle w:val="Heading1"/>
        <w:spacing w:after="160" w:before="280"/>
      </w:pPr>
      <w:r>
        <w:t xml:space="preserve">23. Appendix C — Exchange control allowances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Allowance</w:t>
            </w:r>
          </w:p>
        </w:tc>
        <w:tc>
          <w:tcPr>
            <w:tcW w:type="dxa" w:w="26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Limit (per calendar year)</w:t>
            </w:r>
          </w:p>
        </w:tc>
        <w:tc>
          <w:tcPr>
            <w:tcW w:type="dxa" w:w="35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Requirements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Single Discretionary Allowance (SDA)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R2,000,000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Any legal purpose; no SARS approval; declared to authorised dealer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Foreign Investment Allowance (FIA)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R10,000,000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SARS Approval for International Transfer (AIT); tax-compliant status required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Travel allowance (under SDA)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Part of SDA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Same calendar-year pool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Foreign inheritance / earnings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Unlimited (SARS AIT)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Not counted against SDA/FIA once approved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Above R12m combined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Case-by-case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SARB Special Approval via authorised dealer</w:t>
            </w:r>
          </w:p>
        </w:tc>
      </w:tr>
    </w:tbl>
    <w:p>
      <w:pPr>
        <w:spacing w:after="120"/>
      </w:pPr>
      <w:r>
        <w:t xml:space="preserve">All amounts reset on 1 January. A year-of-transfer declaration is required annually.</w:t>
      </w:r>
    </w:p>
    <w:p>
      <w:r>
        <w:br w:type="page"/>
      </w:r>
    </w:p>
    <w:p>
      <w:pPr>
        <w:pStyle w:val="Heading1"/>
        <w:spacing w:after="160" w:before="280"/>
      </w:pPr>
      <w:r>
        <w:t xml:space="preserve">24. Appendix D — Glossary UK ↔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UK term</w:t>
            </w:r>
          </w:p>
        </w:tc>
        <w:tc>
          <w:tcPr>
            <w:tcW w:type="dxa" w:w="30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SA equivalent</w:t>
            </w:r>
          </w:p>
        </w:tc>
        <w:tc>
          <w:tcPr>
            <w:tcW w:type="dxa" w:w="33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Inheritance Tax (IHT)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Estate Duty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Different rates, abatement instead of NRB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Nil Rate Band (NRB)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Estate duty abatement (s4A)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R3.5m, portable between spouses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Residence Nil Rate Band (RNRB)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equivalent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Primary residence is fully dutiable (but see CGT R2m)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ISA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TFSA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R46k annual / R500k lifetime vs £20k annual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SIPP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Retirement Annuity (RA)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Individual retirement vehicle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Workplace Pension (DC)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Pension / Provident Fund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Employer-sponsored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DB pension / Final Salary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Defined Benefit / GEPF</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Far less common in SA private sector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Lifetime Allowance / LSA / LSDBA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11F cap + retirement lump-sum tables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lifetime pot cap in SA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State Pension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SASSA Old Age Grant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Means-tested, not contributory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Drawdown pension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Living Annuity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2.5%–17.5% band; no Reg 28 inside annuity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Annuity (UK)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Life Annuity / Guaranteed Annuity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Taxable income; s10C for non-deductible portion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Dividend Allowance £500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direct equivalent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 uses DWT at 20%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Personal Savings Allowance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Interest exemption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R23,800 (&lt;65) / R34,500 (65+)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PAYE / NI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PAYE / UIF + SDL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Different rates and caps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NI number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 ID number (13 digits, Luhn-checked)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Embeds DOB and citizenship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Gift out of normal expenditure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SA has donations tax with R100k annual exemption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Deed of Variation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Redistribution agreement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Common-law; estate planning tool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Trust (bare / discretionary / interest-in-possession)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 vivos trust / testamentary trust / special trust (Type A/B)</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45% flat trust rate; conduit principle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Child Trust Fund / Junior ISA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Minor TFSA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TFSA can be opened for a minor; counts towards their lifetime R500k</w:t>
            </w:r>
          </w:p>
        </w:tc>
      </w:tr>
    </w:tbl>
    <w:p>
      <w:r>
        <w:br w:type="page"/>
      </w:r>
    </w:p>
    <w:p>
      <w:pPr>
        <w:pStyle w:val="Heading1"/>
        <w:spacing w:after="160" w:before="280"/>
      </w:pPr>
      <w:r>
        <w:t xml:space="preserve">25. Appendix E — Sources</w:t>
      </w:r>
    </w:p>
    <w:p>
      <w:pPr>
        <w:spacing w:after="120"/>
      </w:pPr>
      <w:r>
        <w:t xml:space="preserve">The following sources informed the rates, thresholds and rules cited above. All values are for the 2026/27 tax year unless stated, and should be re-verified against the latest SARS / National Treasury / SARB publications before code freeze.</w:t>
      </w:r>
    </w:p>
    <w:p>
      <w:pPr>
        <w:pStyle w:val="ListParagraph"/>
        <w:numPr>
          <w:ilvl w:val="0"/>
          <w:numId w:val="2"/>
        </w:numPr>
        <w:spacing w:after="80"/>
      </w:pPr>
      <w:r>
        <w:t xml:space="preserve">SARS — Rates of Tax for Individuals — </w:t>
      </w:r>
      <w:hyperlink w:history="1" r:id="rIdaoyjthct7gasqjmzljvaf">
        <w:r>
          <w:rPr>
            <w:rStyle w:val="Hyperlink"/>
          </w:rPr>
          <w:t xml:space="preserve">https://www.sars.gov.za/tax-rates/income-tax/rates-of-tax-for-individuals/</w:t>
        </w:r>
      </w:hyperlink>
    </w:p>
    <w:p>
      <w:pPr>
        <w:pStyle w:val="ListParagraph"/>
        <w:numPr>
          <w:ilvl w:val="0"/>
          <w:numId w:val="2"/>
        </w:numPr>
        <w:spacing w:after="80"/>
      </w:pPr>
      <w:r>
        <w:t xml:space="preserve">SARS — Budget 2026 FAQs — </w:t>
      </w:r>
      <w:hyperlink w:history="1" r:id="rIdkrwjhjkskt_gt1rzn7fpa">
        <w:r>
          <w:rPr>
            <w:rStyle w:val="Hyperlink"/>
          </w:rPr>
          <w:t xml:space="preserve">https://www.sars.gov.za/about/sars-tax-and-customs-system/budget/budget-2026-frequently-asked-questions/</w:t>
        </w:r>
      </w:hyperlink>
    </w:p>
    <w:p>
      <w:pPr>
        <w:pStyle w:val="ListParagraph"/>
        <w:numPr>
          <w:ilvl w:val="0"/>
          <w:numId w:val="2"/>
        </w:numPr>
        <w:spacing w:after="80"/>
      </w:pPr>
      <w:r>
        <w:t xml:space="preserve">SARS — Retirement Lump Sum Benefits — </w:t>
      </w:r>
      <w:hyperlink w:history="1" r:id="rIdlho70dmfroniwevgd9esf">
        <w:r>
          <w:rPr>
            <w:rStyle w:val="Hyperlink"/>
          </w:rPr>
          <w:t xml:space="preserve">https://www.sars.gov.za/tax-rates/income-tax/retirement-lump-sum-benefits/</w:t>
        </w:r>
      </w:hyperlink>
    </w:p>
    <w:p>
      <w:pPr>
        <w:pStyle w:val="ListParagraph"/>
        <w:numPr>
          <w:ilvl w:val="0"/>
          <w:numId w:val="2"/>
        </w:numPr>
        <w:spacing w:after="80"/>
      </w:pPr>
      <w:r>
        <w:t xml:space="preserve">SARS — Interest and Dividends — </w:t>
      </w:r>
      <w:hyperlink w:history="1" r:id="rIds6hoqrassitz0rud9xgfp">
        <w:r>
          <w:rPr>
            <w:rStyle w:val="Hyperlink"/>
          </w:rPr>
          <w:t xml:space="preserve">https://www.sars.gov.za/tax-rates/income-tax/interest-and-dividends/</w:t>
        </w:r>
      </w:hyperlink>
    </w:p>
    <w:p>
      <w:pPr>
        <w:pStyle w:val="ListParagraph"/>
        <w:numPr>
          <w:ilvl w:val="0"/>
          <w:numId w:val="2"/>
        </w:numPr>
        <w:spacing w:after="80"/>
      </w:pPr>
      <w:r>
        <w:t xml:space="preserve">SARS — CGT — </w:t>
      </w:r>
      <w:hyperlink w:history="1" r:id="rId17fii2oqphgrdxhzhwt9o">
        <w:r>
          <w:rPr>
            <w:rStyle w:val="Hyperlink"/>
          </w:rPr>
          <w:t xml:space="preserve">https://www.sars.gov.za/tax-rates/income-tax/capital-gains-tax-cgt/</w:t>
        </w:r>
      </w:hyperlink>
    </w:p>
    <w:p>
      <w:pPr>
        <w:pStyle w:val="ListParagraph"/>
        <w:numPr>
          <w:ilvl w:val="0"/>
          <w:numId w:val="2"/>
        </w:numPr>
        <w:spacing w:after="80"/>
      </w:pPr>
      <w:r>
        <w:t xml:space="preserve">SARS — Estate Duty — </w:t>
      </w:r>
      <w:hyperlink w:history="1" r:id="rIdiporpdymzsxjyzcnu7kbx">
        <w:r>
          <w:rPr>
            <w:rStyle w:val="Hyperlink"/>
          </w:rPr>
          <w:t xml:space="preserve">https://www.sars.gov.za/types-of-tax/estate-duty/</w:t>
        </w:r>
      </w:hyperlink>
    </w:p>
    <w:p>
      <w:pPr>
        <w:pStyle w:val="ListParagraph"/>
        <w:numPr>
          <w:ilvl w:val="0"/>
          <w:numId w:val="2"/>
        </w:numPr>
        <w:spacing w:after="80"/>
      </w:pPr>
      <w:r>
        <w:t xml:space="preserve">SARS — Donations Tax — </w:t>
      </w:r>
      <w:hyperlink w:history="1" r:id="rIda-_mxrsrh0f-p6lsjdrty">
        <w:r>
          <w:rPr>
            <w:rStyle w:val="Hyperlink"/>
          </w:rPr>
          <w:t xml:space="preserve">https://www.sars.gov.za/types-of-tax/donations-tax/</w:t>
        </w:r>
      </w:hyperlink>
    </w:p>
    <w:p>
      <w:pPr>
        <w:pStyle w:val="ListParagraph"/>
        <w:numPr>
          <w:ilvl w:val="0"/>
          <w:numId w:val="2"/>
        </w:numPr>
        <w:spacing w:after="80"/>
      </w:pPr>
      <w:r>
        <w:t xml:space="preserve">SARS — Section 11F(2)(a) retirement deductions — </w:t>
      </w:r>
      <w:hyperlink w:history="1" r:id="rIddnnzk23qelvzfmwqztm-d">
        <w:r>
          <w:rPr>
            <w:rStyle w:val="Hyperlink"/>
          </w:rPr>
          <w:t xml:space="preserve">https://www.sars.gov.za/latest-news/retirement-fund-contribution-deductions-section-11f2a/</w:t>
        </w:r>
      </w:hyperlink>
    </w:p>
    <w:p>
      <w:pPr>
        <w:pStyle w:val="ListParagraph"/>
        <w:numPr>
          <w:ilvl w:val="0"/>
          <w:numId w:val="2"/>
        </w:numPr>
        <w:spacing w:after="80"/>
      </w:pPr>
      <w:r>
        <w:t xml:space="preserve">SARB — South African Reserve Bank — </w:t>
      </w:r>
      <w:hyperlink w:history="1" r:id="rIdrmx5g533_y_dq3a-oxrwl">
        <w:r>
          <w:rPr>
            <w:rStyle w:val="Hyperlink"/>
          </w:rPr>
          <w:t xml:space="preserve">https://www.resbank.co.za/en/home</w:t>
        </w:r>
      </w:hyperlink>
    </w:p>
    <w:p>
      <w:pPr>
        <w:pStyle w:val="ListParagraph"/>
        <w:numPr>
          <w:ilvl w:val="0"/>
          <w:numId w:val="2"/>
        </w:numPr>
        <w:spacing w:after="80"/>
      </w:pPr>
      <w:r>
        <w:t xml:space="preserve">FSCA — Financial Sector Conduct Authority — </w:t>
      </w:r>
      <w:hyperlink w:history="1" r:id="rIdjnrfrybeqcmnnj-0di7_y">
        <w:r>
          <w:rPr>
            <w:rStyle w:val="Hyperlink"/>
          </w:rPr>
          <w:t xml:space="preserve">https://www.fsca.co.za/</w:t>
        </w:r>
      </w:hyperlink>
    </w:p>
    <w:p>
      <w:pPr>
        <w:pStyle w:val="ListParagraph"/>
        <w:numPr>
          <w:ilvl w:val="0"/>
          <w:numId w:val="2"/>
        </w:numPr>
        <w:spacing w:after="80"/>
      </w:pPr>
      <w:r>
        <w:t xml:space="preserve">FSCA — Unclaimed Benefits search — </w:t>
      </w:r>
      <w:hyperlink w:history="1" r:id="rIdjywmwzlyfyo7nag1boew7">
        <w:r>
          <w:rPr>
            <w:rStyle w:val="Hyperlink"/>
          </w:rPr>
          <w:t xml:space="preserve">https://www.fsca.co.za/Unclaimed-Benefits/</w:t>
        </w:r>
      </w:hyperlink>
    </w:p>
    <w:p>
      <w:pPr>
        <w:pStyle w:val="ListParagraph"/>
        <w:numPr>
          <w:ilvl w:val="0"/>
          <w:numId w:val="2"/>
        </w:numPr>
        <w:spacing w:after="80"/>
      </w:pPr>
      <w:r>
        <w:t xml:space="preserve">National Treasury — Budget documents — </w:t>
      </w:r>
      <w:hyperlink w:history="1" r:id="rIdtmsypm_pyn5qvs_59r9y8">
        <w:r>
          <w:rPr>
            <w:rStyle w:val="Hyperlink"/>
          </w:rPr>
          <w:t xml:space="preserve">https://www.treasury.gov.za/</w:t>
        </w:r>
      </w:hyperlink>
    </w:p>
    <w:p>
      <w:pPr>
        <w:pStyle w:val="ListParagraph"/>
        <w:numPr>
          <w:ilvl w:val="0"/>
          <w:numId w:val="2"/>
        </w:numPr>
        <w:spacing w:after="80"/>
      </w:pPr>
      <w:r>
        <w:t xml:space="preserve">Gov.za — SASSA Old Age Grant — </w:t>
      </w:r>
      <w:hyperlink w:history="1" r:id="rIdvoefjjtbmmrcyp9pok6ze">
        <w:r>
          <w:rPr>
            <w:rStyle w:val="Hyperlink"/>
          </w:rPr>
          <w:t xml:space="preserve">https://www.gov.za/services/services-residents/social-benefits/old-age-pension</w:t>
        </w:r>
      </w:hyperlink>
    </w:p>
    <w:p>
      <w:pPr>
        <w:pStyle w:val="ListParagraph"/>
        <w:numPr>
          <w:ilvl w:val="0"/>
          <w:numId w:val="2"/>
        </w:numPr>
        <w:spacing w:after="80"/>
      </w:pPr>
      <w:r>
        <w:t xml:space="preserve">Pension Funds Online — South Africa profile — </w:t>
      </w:r>
      <w:hyperlink w:history="1" r:id="rIdhik5wzhefwqisnlagn8zo">
        <w:r>
          <w:rPr>
            <w:rStyle w:val="Hyperlink"/>
          </w:rPr>
          <w:t xml:space="preserve">https://www.pensionfundsonline.co.uk/content/country-profiles/south-africa</w:t>
        </w:r>
      </w:hyperlink>
    </w:p>
    <w:p>
      <w:pPr>
        <w:pStyle w:val="ListParagraph"/>
        <w:numPr>
          <w:ilvl w:val="0"/>
          <w:numId w:val="2"/>
        </w:numPr>
        <w:spacing w:after="80"/>
      </w:pPr>
      <w:r>
        <w:t xml:space="preserve">Accounter — SARS Tax Tables 2026/2027 — </w:t>
      </w:r>
      <w:hyperlink w:history="1" r:id="rIdww8pokmvlnvh3kpaafv75">
        <w:r>
          <w:rPr>
            <w:rStyle w:val="Hyperlink"/>
          </w:rPr>
          <w:t xml:space="preserve">https://accounter.co.za/news/sars-tax-tables-2026-2027</w:t>
        </w:r>
      </w:hyperlink>
    </w:p>
    <w:p>
      <w:pPr>
        <w:pStyle w:val="ListParagraph"/>
        <w:numPr>
          <w:ilvl w:val="0"/>
          <w:numId w:val="2"/>
        </w:numPr>
        <w:spacing w:after="80"/>
      </w:pPr>
      <w:r>
        <w:t xml:space="preserve">Moneyweb — Godongwana lifts annual TFSA limit — </w:t>
      </w:r>
      <w:hyperlink w:history="1" r:id="rIdv_c62lk8xa-s6npnro2pw">
        <w:r>
          <w:rPr>
            <w:rStyle w:val="Hyperlink"/>
          </w:rPr>
          <w:t xml:space="preserve">https://www.moneyweb.co.za/news/south-africas/godongwana-lifts-annual-tfsa-limit/</w:t>
        </w:r>
      </w:hyperlink>
    </w:p>
    <w:p>
      <w:pPr>
        <w:pStyle w:val="ListParagraph"/>
        <w:numPr>
          <w:ilvl w:val="0"/>
          <w:numId w:val="2"/>
        </w:numPr>
        <w:spacing w:after="80"/>
      </w:pPr>
      <w:r>
        <w:t xml:space="preserve">Moonstone — CGT / TFSA / retirement / donations changes — </w:t>
      </w:r>
      <w:hyperlink w:history="1" r:id="rIdvogu4isamfbrpdqooc8ys">
        <w:r>
          <w:rPr>
            <w:rStyle w:val="Hyperlink"/>
          </w:rPr>
          <w:t xml:space="preserve">https://www.moonstone.co.za/changes-to-cgt-tax-free-savings-retirement-contributions-and-donations/</w:t>
        </w:r>
      </w:hyperlink>
    </w:p>
    <w:p>
      <w:pPr>
        <w:pStyle w:val="ListParagraph"/>
        <w:numPr>
          <w:ilvl w:val="0"/>
          <w:numId w:val="2"/>
        </w:numPr>
        <w:spacing w:after="80"/>
      </w:pPr>
      <w:r>
        <w:t xml:space="preserve">Investec — Two-Pot System explained — </w:t>
      </w:r>
      <w:hyperlink w:history="1" r:id="rIdh4dop7qxcw-2ltwwoei-d">
        <w:r>
          <w:rPr>
            <w:rStyle w:val="Hyperlink"/>
          </w:rPr>
          <w:t xml:space="preserve">https://www.investec.com/en_za/focus/money/two-pot-retirement-system-explained.html</w:t>
        </w:r>
      </w:hyperlink>
    </w:p>
    <w:p>
      <w:pPr>
        <w:pStyle w:val="ListParagraph"/>
        <w:numPr>
          <w:ilvl w:val="0"/>
          <w:numId w:val="2"/>
        </w:numPr>
        <w:spacing w:after="80"/>
      </w:pPr>
      <w:r>
        <w:t xml:space="preserve">Old Mutual — Two-Pot Retirement System — </w:t>
      </w:r>
      <w:hyperlink w:history="1" r:id="rId-hrdl2htm07tobvp8al97">
        <w:r>
          <w:rPr>
            <w:rStyle w:val="Hyperlink"/>
          </w:rPr>
          <w:t xml:space="preserve">https://www.oldmutual.co.za/two-pot-retirement-system/</w:t>
        </w:r>
      </w:hyperlink>
    </w:p>
    <w:p>
      <w:pPr>
        <w:pStyle w:val="ListParagraph"/>
        <w:numPr>
          <w:ilvl w:val="0"/>
          <w:numId w:val="2"/>
        </w:numPr>
        <w:spacing w:after="80"/>
      </w:pPr>
      <w:r>
        <w:t xml:space="preserve">10X — Living Annuity FAQs — </w:t>
      </w:r>
      <w:hyperlink w:history="1" r:id="rIdltmfwi4nggcjwwdbg8_f1">
        <w:r>
          <w:rPr>
            <w:rStyle w:val="Hyperlink"/>
          </w:rPr>
          <w:t xml:space="preserve">https://www.10x.co.za/living-annuity-faq</w:t>
        </w:r>
      </w:hyperlink>
    </w:p>
    <w:p>
      <w:pPr>
        <w:pStyle w:val="ListParagraph"/>
        <w:numPr>
          <w:ilvl w:val="0"/>
          <w:numId w:val="2"/>
        </w:numPr>
        <w:spacing w:after="80"/>
      </w:pPr>
      <w:r>
        <w:t xml:space="preserve">Glacier — Regulation 28 amendments — </w:t>
      </w:r>
      <w:hyperlink w:history="1" r:id="rId-6g6t6w_qtza7nxjrbeul">
        <w:r>
          <w:rPr>
            <w:rStyle w:val="Hyperlink"/>
          </w:rPr>
          <w:t xml:space="preserve">https://www.glacierinsights.co.za/blog/articles/regulation-28-amendments</w:t>
        </w:r>
      </w:hyperlink>
    </w:p>
    <w:p>
      <w:pPr>
        <w:pStyle w:val="ListParagraph"/>
        <w:numPr>
          <w:ilvl w:val="0"/>
          <w:numId w:val="2"/>
        </w:numPr>
        <w:spacing w:after="80"/>
      </w:pPr>
      <w:r>
        <w:t xml:space="preserve">FinGlobal — Single Discretionary Allowance — </w:t>
      </w:r>
      <w:hyperlink w:history="1" r:id="rIdzjsczkte9ke-89jngt9i_">
        <w:r>
          <w:rPr>
            <w:rStyle w:val="Hyperlink"/>
          </w:rPr>
          <w:t xml:space="preserve">https://www.finglobal.com/2026/02/23/single-discretionary-allowance-south-africa/</w:t>
        </w:r>
      </w:hyperlink>
    </w:p>
    <w:p>
      <w:pPr>
        <w:pStyle w:val="ListParagraph"/>
        <w:numPr>
          <w:ilvl w:val="0"/>
          <w:numId w:val="2"/>
        </w:numPr>
        <w:spacing w:after="80"/>
      </w:pPr>
      <w:r>
        <w:t xml:space="preserve">MoneyMarketing — SDA doubled to R2m — </w:t>
      </w:r>
      <w:hyperlink w:history="1" r:id="rIdh3pcrft5_y-3hj14wxamj">
        <w:r>
          <w:rPr>
            <w:rStyle w:val="Hyperlink"/>
          </w:rPr>
          <w:t xml:space="preserve">https://www.moneymarketing.co.za/south-africans-send-money-offshore/</w:t>
        </w:r>
      </w:hyperlink>
    </w:p>
    <w:p>
      <w:pPr>
        <w:pStyle w:val="ListParagraph"/>
        <w:numPr>
          <w:ilvl w:val="0"/>
          <w:numId w:val="2"/>
        </w:numPr>
        <w:spacing w:after="80"/>
      </w:pPr>
      <w:r>
        <w:t xml:space="preserve">PKF — SA Tax Guide 2025/2026 — </w:t>
      </w:r>
      <w:hyperlink w:history="1" r:id="rIdeqrylzpaulahvqyuhyq4c">
        <w:r>
          <w:rPr>
            <w:rStyle w:val="Hyperlink"/>
          </w:rPr>
          <w:t xml:space="preserve">https://www.pkf.co.za/media/akvieqeq/pkf-tax-guide-2025-2026.pdf</w:t>
        </w:r>
      </w:hyperlink>
    </w:p>
    <w:p>
      <w:pPr>
        <w:pStyle w:val="ListParagraph"/>
        <w:numPr>
          <w:ilvl w:val="0"/>
          <w:numId w:val="2"/>
        </w:numPr>
        <w:spacing w:after="80"/>
      </w:pPr>
      <w:r>
        <w:t xml:space="preserve">KPMG — SA Budget Guide 2026 — </w:t>
      </w:r>
      <w:hyperlink w:history="1" r:id="rIdmctbwds4mjovdak9-ktxm">
        <w:r>
          <w:rPr>
            <w:rStyle w:val="Hyperlink"/>
          </w:rPr>
          <w:t xml:space="preserve">https://assets.kpmg.com/content/dam/kpmgsites/za/pdf/2026/02/SA%20Budget%20Guide%202026.pdf</w:t>
        </w:r>
      </w:hyperlink>
    </w:p>
    <w:p>
      <w:r>
        <w:t xml:space="preserve"/>
      </w:r>
    </w:p>
    <w:p>
      <w:pPr>
        <w:spacing w:after="120"/>
      </w:pPr>
      <w:r>
        <w:t xml:space="preserve">All figures in this document reflect publicly-available guidance as at April 2026 and must be re-validated against official SARS / FSCA / SARB publications before release. Where a figure is used in code, it should be stored in the TaxConfigurationSeeder with an effective_from date, never hardcoded.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378"/>
        <w:sz w:val="18"/>
        <w:szCs w:val="18"/>
      </w:rPr>
      <w:t xml:space="preserve">Page </w:t>
    </w:r>
    <w:r>
      <w:rPr>
        <w:color w:val="5A6378"/>
        <w:sz w:val="18"/>
        <w:szCs w:val="18"/>
      </w:rPr>
      <w:fldChar w:fldCharType="begin"/>
      <w:instrText xml:space="preserve">PAGE</w:instrText>
      <w:fldChar w:fldCharType="separate"/>
      <w:fldChar w:fldCharType="end"/>
    </w:r>
    <w:r>
      <w:rPr>
        <w:color w:val="5A6378"/>
        <w:sz w:val="18"/>
        <w:szCs w:val="18"/>
      </w:rPr>
      <w:t xml:space="preserve"> of </w:t>
    </w:r>
    <w:r>
      <w:rPr>
        <w:color w:val="5A63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378"/>
        <w:sz w:val="18"/>
        <w:szCs w:val="18"/>
      </w:rPr>
      <w:t xml:space="preserve">Fynla SA — Research &amp;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A4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8104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A44"/>
      <w:sz w:val="24"/>
      <w:szCs w:val="24"/>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oyjthct7gasqjmzljvaf" Type="http://schemas.openxmlformats.org/officeDocument/2006/relationships/hyperlink" Target="https://www.sars.gov.za/tax-rates/income-tax/rates-of-tax-for-individuals/" TargetMode="External"/><Relationship Id="rIdkrwjhjkskt_gt1rzn7fpa" Type="http://schemas.openxmlformats.org/officeDocument/2006/relationships/hyperlink" Target="https://www.sars.gov.za/about/sars-tax-and-customs-system/budget/budget-2026-frequently-asked-questions/" TargetMode="External"/><Relationship Id="rIdlho70dmfroniwevgd9esf" Type="http://schemas.openxmlformats.org/officeDocument/2006/relationships/hyperlink" Target="https://www.sars.gov.za/tax-rates/income-tax/retirement-lump-sum-benefits/" TargetMode="External"/><Relationship Id="rIds6hoqrassitz0rud9xgfp" Type="http://schemas.openxmlformats.org/officeDocument/2006/relationships/hyperlink" Target="https://www.sars.gov.za/tax-rates/income-tax/interest-and-dividends/" TargetMode="External"/><Relationship Id="rId17fii2oqphgrdxhzhwt9o" Type="http://schemas.openxmlformats.org/officeDocument/2006/relationships/hyperlink" Target="https://www.sars.gov.za/tax-rates/income-tax/capital-gains-tax-cgt/" TargetMode="External"/><Relationship Id="rIdiporpdymzsxjyzcnu7kbx" Type="http://schemas.openxmlformats.org/officeDocument/2006/relationships/hyperlink" Target="https://www.sars.gov.za/types-of-tax/estate-duty/" TargetMode="External"/><Relationship Id="rIda-_mxrsrh0f-p6lsjdrty" Type="http://schemas.openxmlformats.org/officeDocument/2006/relationships/hyperlink" Target="https://www.sars.gov.za/types-of-tax/donations-tax/" TargetMode="External"/><Relationship Id="rIddnnzk23qelvzfmwqztm-d" Type="http://schemas.openxmlformats.org/officeDocument/2006/relationships/hyperlink" Target="https://www.sars.gov.za/latest-news/retirement-fund-contribution-deductions-section-11f2a/" TargetMode="External"/><Relationship Id="rIdrmx5g533_y_dq3a-oxrwl" Type="http://schemas.openxmlformats.org/officeDocument/2006/relationships/hyperlink" Target="https://www.resbank.co.za/en/home" TargetMode="External"/><Relationship Id="rIdjnrfrybeqcmnnj-0di7_y" Type="http://schemas.openxmlformats.org/officeDocument/2006/relationships/hyperlink" Target="https://www.fsca.co.za/" TargetMode="External"/><Relationship Id="rIdjywmwzlyfyo7nag1boew7" Type="http://schemas.openxmlformats.org/officeDocument/2006/relationships/hyperlink" Target="https://www.fsca.co.za/Unclaimed-Benefits/" TargetMode="External"/><Relationship Id="rIdtmsypm_pyn5qvs_59r9y8" Type="http://schemas.openxmlformats.org/officeDocument/2006/relationships/hyperlink" Target="https://www.treasury.gov.za/" TargetMode="External"/><Relationship Id="rIdvoefjjtbmmrcyp9pok6ze" Type="http://schemas.openxmlformats.org/officeDocument/2006/relationships/hyperlink" Target="https://www.gov.za/services/services-residents/social-benefits/old-age-pension" TargetMode="External"/><Relationship Id="rIdhik5wzhefwqisnlagn8zo" Type="http://schemas.openxmlformats.org/officeDocument/2006/relationships/hyperlink" Target="https://www.pensionfundsonline.co.uk/content/country-profiles/south-africa" TargetMode="External"/><Relationship Id="rIdww8pokmvlnvh3kpaafv75" Type="http://schemas.openxmlformats.org/officeDocument/2006/relationships/hyperlink" Target="https://accounter.co.za/news/sars-tax-tables-2026-2027" TargetMode="External"/><Relationship Id="rIdv_c62lk8xa-s6npnro2pw" Type="http://schemas.openxmlformats.org/officeDocument/2006/relationships/hyperlink" Target="https://www.moneyweb.co.za/news/south-africas/godongwana-lifts-annual-tfsa-limit/" TargetMode="External"/><Relationship Id="rIdvogu4isamfbrpdqooc8ys" Type="http://schemas.openxmlformats.org/officeDocument/2006/relationships/hyperlink" Target="https://www.moonstone.co.za/changes-to-cgt-tax-free-savings-retirement-contributions-and-donations/" TargetMode="External"/><Relationship Id="rIdh4dop7qxcw-2ltwwoei-d" Type="http://schemas.openxmlformats.org/officeDocument/2006/relationships/hyperlink" Target="https://www.investec.com/en_za/focus/money/two-pot-retirement-system-explained.html" TargetMode="External"/><Relationship Id="rId-hrdl2htm07tobvp8al97" Type="http://schemas.openxmlformats.org/officeDocument/2006/relationships/hyperlink" Target="https://www.oldmutual.co.za/two-pot-retirement-system/" TargetMode="External"/><Relationship Id="rIdltmfwi4nggcjwwdbg8_f1" Type="http://schemas.openxmlformats.org/officeDocument/2006/relationships/hyperlink" Target="https://www.10x.co.za/living-annuity-faq" TargetMode="External"/><Relationship Id="rId-6g6t6w_qtza7nxjrbeul" Type="http://schemas.openxmlformats.org/officeDocument/2006/relationships/hyperlink" Target="https://www.glacierinsights.co.za/blog/articles/regulation-28-amendments" TargetMode="External"/><Relationship Id="rIdzjsczkte9ke-89jngt9i_" Type="http://schemas.openxmlformats.org/officeDocument/2006/relationships/hyperlink" Target="https://www.finglobal.com/2026/02/23/single-discretionary-allowance-south-africa/" TargetMode="External"/><Relationship Id="rIdh3pcrft5_y-3hj14wxamj" Type="http://schemas.openxmlformats.org/officeDocument/2006/relationships/hyperlink" Target="https://www.moneymarketing.co.za/south-africans-send-money-offshore/" TargetMode="External"/><Relationship Id="rIdeqrylzpaulahvqyuhyq4c" Type="http://schemas.openxmlformats.org/officeDocument/2006/relationships/hyperlink" Target="https://www.pkf.co.za/media/akvieqeq/pkf-tax-guide-2025-2026.pdf" TargetMode="External"/><Relationship Id="rIdmctbwds4mjovdak9-ktxm" Type="http://schemas.openxmlformats.org/officeDocument/2006/relationships/hyperlink" Target="https://assets.kpmg.com/content/dam/kpmgsites/za/pdf/2026/02/SA%20Budget%20Guide%202026.pdf"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Fynla SA — Research &amp; Mapping Document</dc:title>
  <dc:creator>Fynla</dc:creator>
  <dc:description>Comprehensive UK→SA adaptation plan for the Fynla financial planning application</dc:description>
  <cp:lastModifiedBy>Un-named</cp:lastModifiedBy>
  <cp:revision>1</cp:revision>
  <dcterms:created xsi:type="dcterms:W3CDTF">2026-04-15T19:32:26.588Z</dcterms:created>
  <dcterms:modified xsi:type="dcterms:W3CDTF">2026-04-15T19:32:26.589Z</dcterms:modified>
</cp:coreProperties>
</file>

<file path=docProps/custom.xml><?xml version="1.0" encoding="utf-8"?>
<Properties xmlns="http://schemas.openxmlformats.org/officeDocument/2006/custom-properties" xmlns:vt="http://schemas.openxmlformats.org/officeDocument/2006/docPropsVTypes"/>
</file>