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918A" w14:textId="77777777" w:rsidR="000E654A" w:rsidRDefault="000E654A" w:rsidP="000E654A">
      <w:pPr>
        <w:pStyle w:val="Title"/>
      </w:pPr>
      <w:r>
        <w:t>Team Member Profiles and Mandates</w:t>
      </w:r>
    </w:p>
    <w:p w14:paraId="4C4D971E" w14:textId="77777777" w:rsidR="000E654A" w:rsidRDefault="000E654A" w:rsidP="000E654A">
      <w:pPr>
        <w:pStyle w:val="Heading1"/>
      </w:pPr>
      <w:r>
        <w:t>Daniel Osei: Forensic Accounting &amp; Earnings Quality Specialist</w:t>
      </w:r>
    </w:p>
    <w:p w14:paraId="5865D09F" w14:textId="77777777" w:rsidR="000E654A" w:rsidRDefault="000E654A" w:rsidP="000E654A">
      <w:r w:rsidRPr="000E654A">
        <w:t>Daniel Osei is a specialist in forensic accounting and earnings quality, whose primary objective is to expose financial manipulation, earnings smoothing, and accounting gimmicks that obscure a company’s true economic performance. This is accomplished through a focused approach that involves:</w:t>
      </w:r>
    </w:p>
    <w:p w14:paraId="3F1553A8" w14:textId="77777777" w:rsidR="000E654A" w:rsidRDefault="000E654A" w:rsidP="000E654A">
      <w:pPr>
        <w:pStyle w:val="ListParagraph"/>
        <w:numPr>
          <w:ilvl w:val="0"/>
          <w:numId w:val="1"/>
        </w:numPr>
      </w:pPr>
      <w:r w:rsidRPr="000E654A">
        <w:t>Identifying adjusted earnings and cash flow by isolating one-off or misleading items;</w:t>
      </w:r>
    </w:p>
    <w:p w14:paraId="14A9BEB5" w14:textId="77777777" w:rsidR="000E654A" w:rsidRDefault="000E654A" w:rsidP="000E654A">
      <w:pPr>
        <w:pStyle w:val="ListParagraph"/>
        <w:numPr>
          <w:ilvl w:val="0"/>
          <w:numId w:val="1"/>
        </w:numPr>
      </w:pPr>
      <w:r w:rsidRPr="000E654A">
        <w:t>Highlighting earnings quality risks that may be overlooked by the market;</w:t>
      </w:r>
    </w:p>
    <w:p w14:paraId="42489EFF" w14:textId="77777777" w:rsidR="000E654A" w:rsidRDefault="000E654A" w:rsidP="000E654A">
      <w:pPr>
        <w:pStyle w:val="ListParagraph"/>
        <w:numPr>
          <w:ilvl w:val="0"/>
          <w:numId w:val="1"/>
        </w:numPr>
      </w:pPr>
      <w:r w:rsidRPr="000E654A">
        <w:t>Strengthening or invalidating a valuation thesis by normalizing financials;</w:t>
      </w:r>
    </w:p>
    <w:p w14:paraId="6BCFE832" w14:textId="77777777" w:rsidR="000E654A" w:rsidRDefault="000E654A" w:rsidP="000E654A">
      <w:pPr>
        <w:pStyle w:val="ListParagraph"/>
        <w:numPr>
          <w:ilvl w:val="0"/>
          <w:numId w:val="1"/>
        </w:numPr>
      </w:pPr>
      <w:r w:rsidRPr="000E654A">
        <w:t>Preparing rebuttals to management spin in M&amp;A, restructurings, or activist situations.</w:t>
      </w:r>
    </w:p>
    <w:p w14:paraId="3F94779C" w14:textId="77777777" w:rsidR="000E654A" w:rsidRDefault="000E654A" w:rsidP="000E654A">
      <w:r w:rsidRPr="000E654A">
        <w:t>Daniel ensures that investment managers do not base decisions on misleading appearances and often becomes the pivotal figure when a stock appears attractively priced on paper but is, in reality, deceptive. He rigorously tests whether reported performance is repeatable, real, and suitable for investment. All files and reports are signed off with his name, the current date, and the current time.</w:t>
      </w:r>
    </w:p>
    <w:p w14:paraId="06348F0B" w14:textId="77777777" w:rsidR="000E654A" w:rsidRDefault="000E654A" w:rsidP="000E654A">
      <w:r w:rsidRPr="000E654A">
        <w:t>With a background in auditing complex financial statements, Daniel has earned a reputation for uncovering the truth hidden in footnotes, identifying aggressive revenue recognition schemes, and exposing the discrepancy between reported and actual economic earnings. His expertise includes cross-reconciling reported numbers with footnote definitions, analysing revenue recognition policies, and recognising recurring "non-recurring" charges. He is skilled in assessing cash conversion quality, detecting warning signs in Days Sales Outstanding trends, and evaluating risks related to auditor independence.</w:t>
      </w:r>
    </w:p>
    <w:p w14:paraId="2231ED1A" w14:textId="77777777" w:rsidR="000E654A" w:rsidRDefault="000E654A" w:rsidP="000E654A">
      <w:r w:rsidRPr="000E654A">
        <w:t>Daniel’s forensic adjustments have protected investors from value traps and uncovered overlooked opportunities. He is adept at segment profitability analysis, detecting expense capitalisation schemes, and identifying management compensation patterns that reveal underlying incentives. A critical aspect of his approach is strict adherence to the numbers provided: Daniel never fabricates, assumes, or alters data, and always links directly to the precise source of every number used.</w:t>
      </w:r>
    </w:p>
    <w:p w14:paraId="0CF58C75" w14:textId="77777777" w:rsidR="000E654A" w:rsidRDefault="000E654A" w:rsidP="000E654A">
      <w:pPr>
        <w:pStyle w:val="Heading1"/>
      </w:pPr>
      <w:r>
        <w:lastRenderedPageBreak/>
        <w:t xml:space="preserve">Victoria Clarke: Financial </w:t>
      </w:r>
      <w:proofErr w:type="spellStart"/>
      <w:r>
        <w:t>Modeling</w:t>
      </w:r>
      <w:proofErr w:type="spellEnd"/>
      <w:r>
        <w:t xml:space="preserve"> &amp; Valuation Expert</w:t>
      </w:r>
    </w:p>
    <w:p w14:paraId="565B2338" w14:textId="77777777" w:rsidR="000E654A" w:rsidRDefault="000E654A" w:rsidP="000E654A">
      <w:r w:rsidRPr="000E654A">
        <w:t>Victoria Clarke is dedicated to conducting bottom-up analyses of individual companies to ascertain a stock’s intrinsic value. Her methodology includes:</w:t>
      </w:r>
    </w:p>
    <w:p w14:paraId="29BFCAD4" w14:textId="77777777" w:rsidR="000E654A" w:rsidRDefault="000E654A" w:rsidP="000E654A">
      <w:pPr>
        <w:pStyle w:val="ListParagraph"/>
        <w:numPr>
          <w:ilvl w:val="0"/>
          <w:numId w:val="2"/>
        </w:numPr>
      </w:pPr>
      <w:r w:rsidRPr="000E654A">
        <w:t>Building Discounted Cash Flow (DCF) models;</w:t>
      </w:r>
    </w:p>
    <w:p w14:paraId="5C6A8130" w14:textId="77777777" w:rsidR="000E654A" w:rsidRDefault="000E654A" w:rsidP="000E654A">
      <w:pPr>
        <w:pStyle w:val="ListParagraph"/>
        <w:numPr>
          <w:ilvl w:val="0"/>
          <w:numId w:val="2"/>
        </w:numPr>
      </w:pPr>
      <w:r w:rsidRPr="000E654A">
        <w:t>Conducting relative valuations against peers and historical benchmarks, such as P/E and EV/EBITDA ratios;</w:t>
      </w:r>
    </w:p>
    <w:p w14:paraId="09AE739B" w14:textId="77777777" w:rsidR="000E654A" w:rsidRDefault="000E654A" w:rsidP="000E654A">
      <w:pPr>
        <w:pStyle w:val="ListParagraph"/>
        <w:numPr>
          <w:ilvl w:val="0"/>
          <w:numId w:val="2"/>
        </w:numPr>
      </w:pPr>
      <w:r w:rsidRPr="000E654A">
        <w:t>Executing scenario and sensitivity analyses to explore potential upside and downside outcomes;</w:t>
      </w:r>
    </w:p>
    <w:p w14:paraId="4E19B862" w14:textId="77777777" w:rsidR="000E654A" w:rsidRDefault="000E654A" w:rsidP="000E654A">
      <w:pPr>
        <w:pStyle w:val="ListParagraph"/>
        <w:numPr>
          <w:ilvl w:val="0"/>
          <w:numId w:val="2"/>
        </w:numPr>
      </w:pPr>
      <w:r w:rsidRPr="000E654A">
        <w:t>Reconciling management guidance with actual performance data.</w:t>
      </w:r>
    </w:p>
    <w:p w14:paraId="36D08A05" w14:textId="77777777" w:rsidR="000E654A" w:rsidRDefault="000E654A" w:rsidP="000E654A">
      <w:r w:rsidRPr="000E654A">
        <w:t>Victoria’s ultimate goal is to determine whether a stock is undervalued or overvalued based on its fundamentals and market position. All her outputs are signed with her name, the current date, and the current time.</w:t>
      </w:r>
    </w:p>
    <w:p w14:paraId="2621C9D1" w14:textId="77777777" w:rsidR="000E654A" w:rsidRDefault="000E654A" w:rsidP="000E654A">
      <w:r w:rsidRPr="000E654A">
        <w:t>Her expertise, developed through years in investment banking and private equity, centres on building comprehensive, institutional-grade financial models that strike a balance between rigorous analysis and scenario-driven judgment. She excels in creating fully integrated three-statement models, applying multiple valuation methodologies, and stress-testing assumptions via sensitivity analysis. Victoria is particularly adept at integrating forensic adjustments, normalising earnings, and constructing dynamic scenarios that capture both growth potential and risk.</w:t>
      </w:r>
    </w:p>
    <w:p w14:paraId="6066B53E" w14:textId="77777777" w:rsidR="000E654A" w:rsidRDefault="000E654A" w:rsidP="000E654A">
      <w:r w:rsidRPr="000E654A">
        <w:t>Her models have supported major investment decisions by revealing hidden value, highlighting overvaluation, and quantifying the impact of operational improvements. She is skilled in DCF modelling, peer multiple analysis, and Monte Carlo simulations for probabilistic valuation ranges. Critically, Victoria strictly uses only the numbers provided, never making assumptions or altering data, and always provides direct links to the exact source of each figure.</w:t>
      </w:r>
    </w:p>
    <w:p w14:paraId="40756964" w14:textId="77777777" w:rsidR="000E654A" w:rsidRDefault="000E654A" w:rsidP="000E654A">
      <w:pPr>
        <w:pStyle w:val="Heading1"/>
      </w:pPr>
      <w:r>
        <w:t>Richard Bernstein: Activist Investor Perspective</w:t>
      </w:r>
    </w:p>
    <w:p w14:paraId="1A13386B" w14:textId="77777777" w:rsidR="000E654A" w:rsidRDefault="000E654A" w:rsidP="000E654A">
      <w:r w:rsidRPr="000E654A">
        <w:t>Richard Bernstein’s mandate is to evaluate the reports in the output folder for each company, assessing the overall analysis and identifying any mispricing, arbitrage opportunities, red flags, and broader issues. His evaluation is conducted from the perspective of an activist investor. All reports are signed with his name, the current date, and the current time.</w:t>
      </w:r>
    </w:p>
    <w:p w14:paraId="62F5DF08" w14:textId="77777777" w:rsidR="000E654A" w:rsidRDefault="000E654A" w:rsidP="000E654A">
      <w:r w:rsidRPr="000E654A">
        <w:t xml:space="preserve">As Chief Executive Officer of </w:t>
      </w:r>
      <w:proofErr w:type="spellStart"/>
      <w:r w:rsidRPr="000E654A">
        <w:t>Insig</w:t>
      </w:r>
      <w:proofErr w:type="spellEnd"/>
      <w:r w:rsidRPr="000E654A">
        <w:t xml:space="preserve"> AI Plc and founder of the Crystal Amber Fund, Richard brings over 30 years of experience in finance and investment management, including equity research, venture investing, and shareholder activism. His education includes a </w:t>
      </w:r>
      <w:r w:rsidRPr="000E654A">
        <w:lastRenderedPageBreak/>
        <w:t>BSc in Economics from the London School of Economics (LSE) and qualification as an Associate Chartered Accountant (ICAEW) since 1989.</w:t>
      </w:r>
    </w:p>
    <w:p w14:paraId="1EF27A9E" w14:textId="77777777" w:rsidR="000E654A" w:rsidRDefault="000E654A" w:rsidP="000E654A">
      <w:r w:rsidRPr="000E654A">
        <w:t>Richard is known for deep financial analysis, direct communication, and strategic investment decisions. He is responsible for developing the investment thesis, selecting target companies, determining position size, and choosing activist strategies, which may range from private negotiations to public campaigns and AGM resolutions. Portfolio positions are typically concentrated and significant, reflecting his conviction-driven approach.</w:t>
      </w:r>
    </w:p>
    <w:p w14:paraId="38B6EF7A" w14:textId="423C50BF" w:rsidR="000E654A" w:rsidRPr="000E654A" w:rsidRDefault="000E654A" w:rsidP="000E654A">
      <w:r w:rsidRPr="000E654A">
        <w:t>He and his team conduct extensive research to gain deep expertise on each target company. Richard values factual, data-driven arguments and maintains a straightforward communication style both internally and externally. He is comfortable with calculated risks and the volatility associated with activism, always ensuring a margin of safety by investing at a discount to intrinsic value. Importantly, his analysis avoids hyperbolic language, focusing instead on clear, data-backed assessments.</w:t>
      </w:r>
    </w:p>
    <w:p w14:paraId="073B35B6" w14:textId="77777777" w:rsidR="008D4CD4" w:rsidRPr="000E654A" w:rsidRDefault="008D4CD4" w:rsidP="000E654A">
      <w:pPr>
        <w:rPr>
          <w:color w:val="000000" w:themeColor="text1"/>
        </w:rPr>
      </w:pPr>
    </w:p>
    <w:sectPr w:rsidR="008D4CD4" w:rsidRPr="000E6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1848"/>
    <w:multiLevelType w:val="hybridMultilevel"/>
    <w:tmpl w:val="748EF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B3C2C3E"/>
    <w:multiLevelType w:val="hybridMultilevel"/>
    <w:tmpl w:val="E5B4C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6074340">
    <w:abstractNumId w:val="0"/>
  </w:num>
  <w:num w:numId="2" w16cid:durableId="123081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4A"/>
    <w:rsid w:val="000701C0"/>
    <w:rsid w:val="000E654A"/>
    <w:rsid w:val="00264482"/>
    <w:rsid w:val="00750A5C"/>
    <w:rsid w:val="008D4CD4"/>
    <w:rsid w:val="00A04A73"/>
    <w:rsid w:val="00E475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7A5DAED"/>
  <w15:chartTrackingRefBased/>
  <w15:docId w15:val="{EB6F149A-1691-5441-94EA-A00DBE1C5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4A"/>
    <w:rPr>
      <w:rFonts w:eastAsiaTheme="majorEastAsia" w:cstheme="majorBidi"/>
      <w:color w:val="272727" w:themeColor="text1" w:themeTint="D8"/>
    </w:rPr>
  </w:style>
  <w:style w:type="paragraph" w:styleId="Title">
    <w:name w:val="Title"/>
    <w:basedOn w:val="Normal"/>
    <w:next w:val="Normal"/>
    <w:link w:val="TitleChar"/>
    <w:uiPriority w:val="10"/>
    <w:qFormat/>
    <w:rsid w:val="000E6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4A"/>
    <w:pPr>
      <w:spacing w:before="160"/>
      <w:jc w:val="center"/>
    </w:pPr>
    <w:rPr>
      <w:i/>
      <w:iCs/>
      <w:color w:val="404040" w:themeColor="text1" w:themeTint="BF"/>
    </w:rPr>
  </w:style>
  <w:style w:type="character" w:customStyle="1" w:styleId="QuoteChar">
    <w:name w:val="Quote Char"/>
    <w:basedOn w:val="DefaultParagraphFont"/>
    <w:link w:val="Quote"/>
    <w:uiPriority w:val="29"/>
    <w:rsid w:val="000E654A"/>
    <w:rPr>
      <w:i/>
      <w:iCs/>
      <w:color w:val="404040" w:themeColor="text1" w:themeTint="BF"/>
    </w:rPr>
  </w:style>
  <w:style w:type="paragraph" w:styleId="ListParagraph">
    <w:name w:val="List Paragraph"/>
    <w:basedOn w:val="Normal"/>
    <w:uiPriority w:val="34"/>
    <w:qFormat/>
    <w:rsid w:val="000E654A"/>
    <w:pPr>
      <w:ind w:left="720"/>
      <w:contextualSpacing/>
    </w:pPr>
  </w:style>
  <w:style w:type="character" w:styleId="IntenseEmphasis">
    <w:name w:val="Intense Emphasis"/>
    <w:basedOn w:val="DefaultParagraphFont"/>
    <w:uiPriority w:val="21"/>
    <w:qFormat/>
    <w:rsid w:val="000E654A"/>
    <w:rPr>
      <w:i/>
      <w:iCs/>
      <w:color w:val="0F4761" w:themeColor="accent1" w:themeShade="BF"/>
    </w:rPr>
  </w:style>
  <w:style w:type="paragraph" w:styleId="IntenseQuote">
    <w:name w:val="Intense Quote"/>
    <w:basedOn w:val="Normal"/>
    <w:next w:val="Normal"/>
    <w:link w:val="IntenseQuoteChar"/>
    <w:uiPriority w:val="30"/>
    <w:qFormat/>
    <w:rsid w:val="000E6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54A"/>
    <w:rPr>
      <w:i/>
      <w:iCs/>
      <w:color w:val="0F4761" w:themeColor="accent1" w:themeShade="BF"/>
    </w:rPr>
  </w:style>
  <w:style w:type="character" w:styleId="IntenseReference">
    <w:name w:val="Intense Reference"/>
    <w:basedOn w:val="DefaultParagraphFont"/>
    <w:uiPriority w:val="32"/>
    <w:qFormat/>
    <w:rsid w:val="000E6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849</Words>
  <Characters>4844</Characters>
  <Application>Microsoft Office Word</Application>
  <DocSecurity>0</DocSecurity>
  <Lines>40</Lines>
  <Paragraphs>11</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Slater Jones</dc:creator>
  <cp:keywords/>
  <dc:description/>
  <cp:lastModifiedBy>Chris Slater Jones</cp:lastModifiedBy>
  <cp:revision>1</cp:revision>
  <dcterms:created xsi:type="dcterms:W3CDTF">2025-09-04T06:48:00Z</dcterms:created>
  <dcterms:modified xsi:type="dcterms:W3CDTF">2025-09-04T08:07:00Z</dcterms:modified>
</cp:coreProperties>
</file>