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ac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ac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a9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ac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ac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ac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a9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ac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ac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lastRenderedPageBreak/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ac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F924BA" w:rsidRPr="00F924BA" w:rsidRDefault="00F924BA">
      <w:pPr>
        <w:pStyle w:val="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ac"/>
        <w:numPr>
          <w:ilvl w:val="0"/>
          <w:numId w:val="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</w:rPr>
        <w:lastRenderedPageBreak/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ac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ac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ac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ac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ac"/>
        <w:numPr>
          <w:ilvl w:val="0"/>
          <w:numId w:val="5"/>
        </w:numPr>
      </w:pPr>
      <w:r w:rsidRPr="00945840">
        <w:rPr>
          <w:rStyle w:val="CodeChar"/>
        </w:rPr>
        <w:lastRenderedPageBreak/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ac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ac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ac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ac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ac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ac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ac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ac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ac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ac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af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FB754E">
        <w:tc>
          <w:tcPr>
            <w:tcW w:w="9701" w:type="dxa"/>
          </w:tcPr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ac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af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FB754E">
        <w:tc>
          <w:tcPr>
            <w:tcW w:w="9701" w:type="dxa"/>
          </w:tcPr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ac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af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FB754E">
        <w:tc>
          <w:tcPr>
            <w:tcW w:w="9701" w:type="dxa"/>
          </w:tcPr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FB75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245C5A" w:rsidRPr="00245C5A" w:rsidRDefault="00245C5A" w:rsidP="00245C5A">
      <w:pPr>
        <w:pStyle w:val="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4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FB754E">
        <w:tc>
          <w:tcPr>
            <w:tcW w:w="941" w:type="dxa"/>
            <w:shd w:val="clear" w:color="auto" w:fill="D9D9D9"/>
          </w:tcPr>
          <w:p w:rsidR="00E941CD" w:rsidRPr="00882C2F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FB754E">
        <w:trPr>
          <w:trHeight w:val="17"/>
        </w:trPr>
        <w:tc>
          <w:tcPr>
            <w:tcW w:w="94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FB754E">
        <w:trPr>
          <w:trHeight w:val="117"/>
        </w:trPr>
        <w:tc>
          <w:tcPr>
            <w:tcW w:w="94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FB754E">
        <w:trPr>
          <w:trHeight w:val="117"/>
        </w:trPr>
        <w:tc>
          <w:tcPr>
            <w:tcW w:w="94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FB75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A81865">
      <w:pPr>
        <w:pStyle w:val="ac"/>
        <w:numPr>
          <w:ilvl w:val="0"/>
          <w:numId w:val="21"/>
        </w:num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ac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ac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ac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ac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ac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FB754E">
        <w:tc>
          <w:tcPr>
            <w:tcW w:w="985" w:type="dxa"/>
            <w:shd w:val="clear" w:color="auto" w:fill="D9D9D9"/>
          </w:tcPr>
          <w:p w:rsidR="0076087D" w:rsidRPr="00882C2F" w:rsidRDefault="0076087D" w:rsidP="00FB75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FB75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FB754E">
        <w:trPr>
          <w:trHeight w:val="145"/>
        </w:trPr>
        <w:tc>
          <w:tcPr>
            <w:tcW w:w="985" w:type="dxa"/>
          </w:tcPr>
          <w:p w:rsidR="0076087D" w:rsidRPr="0051790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FB754E">
        <w:trPr>
          <w:trHeight w:val="145"/>
        </w:trPr>
        <w:tc>
          <w:tcPr>
            <w:tcW w:w="985" w:type="dxa"/>
          </w:tcPr>
          <w:p w:rsidR="0076087D" w:rsidRPr="0051790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FB75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FB754E">
        <w:trPr>
          <w:trHeight w:val="145"/>
        </w:trPr>
        <w:tc>
          <w:tcPr>
            <w:tcW w:w="985" w:type="dxa"/>
          </w:tcPr>
          <w:p w:rsidR="0076087D" w:rsidRPr="000A33FF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FB754E">
        <w:trPr>
          <w:trHeight w:val="145"/>
        </w:trPr>
        <w:tc>
          <w:tcPr>
            <w:tcW w:w="985" w:type="dxa"/>
          </w:tcPr>
          <w:p w:rsidR="0076087D" w:rsidRPr="000A33FF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FB754E">
        <w:trPr>
          <w:trHeight w:val="145"/>
        </w:trPr>
        <w:tc>
          <w:tcPr>
            <w:tcW w:w="985" w:type="dxa"/>
          </w:tcPr>
          <w:p w:rsidR="0076087D" w:rsidRPr="0051790D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FB754E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a9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a9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lastRenderedPageBreak/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a9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a9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0" w:name="OLE_LINK4"/>
      <w:bookmarkStart w:id="1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0"/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2"/>
            <w:bookmarkEnd w:id="3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</w:t>
        </w:r>
        <w:bookmarkStart w:id="4" w:name="_GoBack"/>
        <w:bookmarkEnd w:id="4"/>
        <w:r w:rsidRPr="00960969">
          <w:rPr>
            <w:rStyle w:val="a9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a9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FB754E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FB754E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FB754E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FB754E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FB754E">
        <w:trPr>
          <w:jc w:val="center"/>
        </w:trPr>
        <w:tc>
          <w:tcPr>
            <w:tcW w:w="3091" w:type="dxa"/>
          </w:tcPr>
          <w:p w:rsidR="00F924BA" w:rsidRDefault="00F924BA" w:rsidP="00FB754E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B754E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B754E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FB754E">
        <w:trPr>
          <w:jc w:val="center"/>
        </w:trPr>
        <w:tc>
          <w:tcPr>
            <w:tcW w:w="3091" w:type="dxa"/>
          </w:tcPr>
          <w:p w:rsidR="00F924BA" w:rsidRDefault="00F924BA" w:rsidP="00FB754E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B754E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B754E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FB754E">
        <w:tc>
          <w:tcPr>
            <w:tcW w:w="715" w:type="dxa"/>
            <w:shd w:val="clear" w:color="auto" w:fill="D9D9D9"/>
          </w:tcPr>
          <w:p w:rsidR="00F924BA" w:rsidRPr="00B57630" w:rsidRDefault="00F924BA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FB754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FB754E">
        <w:trPr>
          <w:trHeight w:val="406"/>
        </w:trPr>
        <w:tc>
          <w:tcPr>
            <w:tcW w:w="715" w:type="dxa"/>
          </w:tcPr>
          <w:p w:rsidR="00F924BA" w:rsidRPr="000C3366" w:rsidRDefault="00F924BA" w:rsidP="00FB75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FB75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FB754E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FB75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FB754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FB754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FB754E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FB754E">
        <w:tc>
          <w:tcPr>
            <w:tcW w:w="715" w:type="dxa"/>
            <w:shd w:val="clear" w:color="auto" w:fill="D9D9D9"/>
          </w:tcPr>
          <w:p w:rsidR="00F924BA" w:rsidRPr="00B57630" w:rsidRDefault="00F924BA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FB75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FB754E">
        <w:trPr>
          <w:trHeight w:val="406"/>
        </w:trPr>
        <w:tc>
          <w:tcPr>
            <w:tcW w:w="715" w:type="dxa"/>
          </w:tcPr>
          <w:p w:rsidR="00F924BA" w:rsidRDefault="00F924BA" w:rsidP="00FB75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FB75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FB75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FB754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FB754E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FB75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FB75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FB75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59"/>
      <w:footerReference w:type="default" r:id="rId6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B4" w:rsidRDefault="002409B4" w:rsidP="008068A2">
      <w:pPr>
        <w:spacing w:after="0" w:line="240" w:lineRule="auto"/>
      </w:pPr>
      <w:r>
        <w:separator/>
      </w:r>
    </w:p>
  </w:endnote>
  <w:endnote w:type="continuationSeparator" w:id="0">
    <w:p w:rsidR="002409B4" w:rsidRDefault="00240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54E" w:rsidRPr="00AC77AD" w:rsidRDefault="00FB754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E91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754E" w:rsidRDefault="00FB754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B754E" w:rsidRDefault="00FB754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754E" w:rsidRPr="008C2B83" w:rsidRDefault="00FB754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B754E" w:rsidRPr="008C2B83" w:rsidRDefault="00FB754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754E" w:rsidRDefault="00FB754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B754E" w:rsidRDefault="00FB754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754E" w:rsidRDefault="00FB754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B754E" w:rsidRDefault="00FB754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B754E" w:rsidRDefault="00FB754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B754E" w:rsidRDefault="00FB754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B4" w:rsidRDefault="002409B4" w:rsidP="008068A2">
      <w:pPr>
        <w:spacing w:after="0" w:line="240" w:lineRule="auto"/>
      </w:pPr>
      <w:r>
        <w:separator/>
      </w:r>
    </w:p>
  </w:footnote>
  <w:footnote w:type="continuationSeparator" w:id="0">
    <w:p w:rsidR="002409B4" w:rsidRDefault="00240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54E" w:rsidRDefault="00FB754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606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09B4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754E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45BC99-ADB1-4CF3-B04C-7F4139D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hyperlink" Target="https://judge.softuni.bg/Contests/Practice/Index/1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hyperlink" Target="https://judge.softuni.bg/Contests/Practice/Index/169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8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image" Target="media/image30.png"/><Relationship Id="rId57" Type="http://schemas.openxmlformats.org/officeDocument/2006/relationships/hyperlink" Target="https://judge.softuni.bg/Contests/Practice/Index/233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3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hyperlink" Target="https://judge.softuni.bg/Contests/Practice/Index/153" TargetMode="External"/><Relationship Id="rId56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06C4B-4CE4-4AC4-A42B-3C56FBE0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8155</TotalTime>
  <Pages>1</Pages>
  <Words>5154</Words>
  <Characters>29383</Characters>
  <Application>Microsoft Office Word</Application>
  <DocSecurity>0</DocSecurity>
  <Lines>244</Lines>
  <Paragraphs>68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NiTriX</cp:lastModifiedBy>
  <cp:revision>272</cp:revision>
  <cp:lastPrinted>2015-10-26T22:35:00Z</cp:lastPrinted>
  <dcterms:created xsi:type="dcterms:W3CDTF">2015-01-15T07:45:00Z</dcterms:created>
  <dcterms:modified xsi:type="dcterms:W3CDTF">2018-06-17T15:31:00Z</dcterms:modified>
  <cp:category>programming, education, software engineering, software development</cp:category>
</cp:coreProperties>
</file>