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20060" w:rsidR="009D0CF8" w:rsidP="005944EB" w:rsidRDefault="009D0CF8" w14:paraId="3EA0464D" w14:textId="77777777">
      <w:pPr>
        <w:rPr>
          <w:rFonts w:cstheme="minorHAnsi"/>
        </w:rPr>
      </w:pPr>
      <w:r>
        <w:rPr>
          <w:noProof/>
        </w:rPr>
        <w:drawing>
          <wp:inline distT="0" distB="0" distL="0" distR="0" wp14:anchorId="2862AC29" wp14:editId="25200056">
            <wp:extent cx="2209800" cy="457200"/>
            <wp:effectExtent l="0" t="0" r="0" b="0"/>
            <wp:docPr id="1680345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Pr="00A20060" w:rsidR="009D0CF8" w:rsidP="005944EB" w:rsidRDefault="009D0CF8" w14:paraId="25B5C54D" w14:textId="77777777">
      <w:pPr>
        <w:jc w:val="right"/>
        <w:rPr>
          <w:rFonts w:cstheme="minorHAnsi"/>
          <w:b/>
          <w:bCs/>
          <w:sz w:val="56"/>
          <w:szCs w:val="56"/>
        </w:rPr>
      </w:pPr>
    </w:p>
    <w:p w:rsidR="009D0CF8" w:rsidP="005944EB" w:rsidRDefault="009D0CF8" w14:paraId="495EDFD5" w14:textId="77777777">
      <w:pPr>
        <w:jc w:val="right"/>
        <w:rPr>
          <w:rFonts w:cstheme="minorHAnsi"/>
          <w:b/>
          <w:bCs/>
          <w:sz w:val="56"/>
          <w:szCs w:val="56"/>
        </w:rPr>
      </w:pPr>
    </w:p>
    <w:p w:rsidRPr="008E4E1C" w:rsidR="009D0CF8" w:rsidP="005944EB" w:rsidRDefault="009D0CF8" w14:paraId="57BDC572" w14:textId="62D4251E">
      <w:pPr>
        <w:pStyle w:val="Title"/>
        <w:jc w:val="right"/>
      </w:pPr>
    </w:p>
    <w:p w:rsidRPr="009D0CF8" w:rsidR="009D0CF8" w:rsidP="005944EB" w:rsidRDefault="008550E9" w14:paraId="264C82CD" w14:textId="25461B1B">
      <w:pPr>
        <w:jc w:val="right"/>
        <w:rPr>
          <w:rFonts w:cstheme="minorHAnsi"/>
          <w:b/>
          <w:sz w:val="40"/>
          <w:szCs w:val="40"/>
        </w:rPr>
      </w:pPr>
      <w:r>
        <w:rPr>
          <w:rFonts w:cstheme="minorHAnsi"/>
          <w:b/>
          <w:sz w:val="40"/>
          <w:szCs w:val="40"/>
        </w:rPr>
        <w:t>CommVault</w:t>
      </w:r>
    </w:p>
    <w:p w:rsidR="009D0CF8" w:rsidP="00134D1A" w:rsidRDefault="005944EB" w14:paraId="7D6E4D30" w14:textId="64436970">
      <w:pPr>
        <w:jc w:val="right"/>
        <w:rPr>
          <w:rFonts w:cstheme="minorHAnsi"/>
          <w:b/>
          <w:sz w:val="40"/>
          <w:szCs w:val="40"/>
        </w:rPr>
      </w:pPr>
      <w:r w:rsidRPr="005944EB">
        <w:rPr>
          <w:rFonts w:cstheme="minorHAnsi"/>
          <w:b/>
          <w:sz w:val="40"/>
          <w:szCs w:val="40"/>
        </w:rPr>
        <w:t>Plugin Configuration Guide</w:t>
      </w:r>
    </w:p>
    <w:p w:rsidR="00110C4B" w:rsidP="00134D1A" w:rsidRDefault="00110C4B" w14:paraId="0930CDD3" w14:textId="3054CCDA">
      <w:pPr>
        <w:jc w:val="right"/>
        <w:rPr>
          <w:rFonts w:cstheme="minorHAnsi"/>
          <w:b/>
          <w:sz w:val="40"/>
          <w:szCs w:val="40"/>
        </w:rPr>
      </w:pPr>
    </w:p>
    <w:p w:rsidR="00110C4B" w:rsidP="00134D1A" w:rsidRDefault="00110C4B" w14:paraId="40439FB0" w14:textId="7D51EA44">
      <w:pPr>
        <w:jc w:val="right"/>
        <w:rPr>
          <w:rFonts w:cstheme="minorHAnsi"/>
          <w:b/>
          <w:sz w:val="40"/>
          <w:szCs w:val="40"/>
        </w:rPr>
      </w:pPr>
    </w:p>
    <w:p w:rsidR="00110C4B" w:rsidP="00134D1A" w:rsidRDefault="00110C4B" w14:paraId="4A952FE8" w14:textId="585BC533">
      <w:pPr>
        <w:jc w:val="right"/>
        <w:rPr>
          <w:rFonts w:cstheme="minorHAnsi"/>
          <w:b/>
          <w:sz w:val="40"/>
          <w:szCs w:val="40"/>
        </w:rPr>
      </w:pPr>
    </w:p>
    <w:p w:rsidRPr="00134D1A" w:rsidR="00110C4B" w:rsidP="00134D1A" w:rsidRDefault="00110C4B" w14:paraId="53A92146" w14:textId="77777777">
      <w:pPr>
        <w:jc w:val="right"/>
        <w:rPr>
          <w:rFonts w:cstheme="minorHAnsi"/>
          <w:b/>
          <w:sz w:val="40"/>
          <w:szCs w:val="40"/>
        </w:rPr>
      </w:pPr>
    </w:p>
    <w:p w:rsidR="009D0CF8" w:rsidP="005944EB" w:rsidRDefault="009D0CF8" w14:paraId="6D6F4D7A" w14:textId="77777777">
      <w:pPr>
        <w:rPr>
          <w:rFonts w:ascii="Calibri" w:hAnsi="Calibri" w:cs="Calibri"/>
          <w:b/>
          <w:bCs/>
        </w:rPr>
      </w:pPr>
    </w:p>
    <w:p w:rsidR="009D0CF8" w:rsidP="005944EB" w:rsidRDefault="009D0CF8" w14:paraId="61FC4438" w14:textId="77777777">
      <w:pPr>
        <w:rPr>
          <w:rFonts w:ascii="Calibri" w:hAnsi="Calibri" w:cs="Calibri"/>
          <w:b/>
          <w:bCs/>
        </w:rPr>
      </w:pPr>
    </w:p>
    <w:bookmarkStart w:name="_Toc364328932" w:displacedByCustomXml="next" w:id="0"/>
    <w:bookmarkStart w:name="_Toc364328421" w:displacedByCustomXml="next" w:id="1"/>
    <w:sdt>
      <w:sdtPr>
        <w:id w:val="1462217307"/>
        <w:docPartObj>
          <w:docPartGallery w:val="Table of Contents"/>
          <w:docPartUnique/>
        </w:docPartObj>
      </w:sdtPr>
      <w:sdtContent>
        <w:p w:rsidRPr="00102AF2" w:rsidR="00857019" w:rsidP="0D6457A9" w:rsidRDefault="00857019" w14:paraId="739BF017" w14:textId="490D5DB1" w14:noSpellErr="1">
          <w:pPr>
            <w:rPr>
              <w:rFonts w:ascii="Calibri" w:hAnsi="Calibri" w:cs="Calibri"/>
            </w:rPr>
          </w:pPr>
        </w:p>
        <w:p w:rsidR="009D0CF8" w:rsidP="004244CB" w:rsidRDefault="009D0CF8" w14:paraId="205BACF2" w14:textId="40569226" w14:noSpellErr="1">
          <w:pPr>
            <w:pStyle w:val="TOCHeading"/>
            <w:spacing w:line="360" w:lineRule="auto"/>
            <w:contextualSpacing/>
          </w:pPr>
          <w:r w:rsidR="009D0CF8">
            <w:rPr/>
            <w:t>Contents</w:t>
          </w:r>
        </w:p>
        <w:p w:rsidRPr="00857019" w:rsidR="00857019" w:rsidP="004244CB" w:rsidRDefault="00857019" w14:paraId="69A83AE1" w14:textId="77777777" w14:noSpellErr="1">
          <w:pPr>
            <w:spacing w:line="360" w:lineRule="auto"/>
            <w:rPr>
              <w:lang w:eastAsia="ja-JP"/>
            </w:rPr>
          </w:pPr>
        </w:p>
        <w:p w:rsidR="00824B31" w:rsidP="0D6457A9" w:rsidRDefault="009D0CF8" w14:paraId="1076E3F0" w14:textId="0BFDD5AF">
          <w:pPr>
            <w:pStyle w:val="TOC1"/>
            <w:tabs>
              <w:tab w:val="right" w:leader="dot" w:pos="9360"/>
            </w:tabs>
            <w:rPr>
              <w:rStyle w:val="Hyperlink"/>
              <w:noProof/>
            </w:rPr>
          </w:pPr>
          <w:r>
            <w:fldChar w:fldCharType="begin"/>
          </w:r>
          <w:r>
            <w:instrText xml:space="preserve">TOC \o "1-3" \h \z \u</w:instrText>
          </w:r>
          <w:r>
            <w:fldChar w:fldCharType="separate"/>
          </w:r>
          <w:hyperlink w:anchor="_Toc2101802308">
            <w:r w:rsidRPr="0D6457A9" w:rsidR="0D6457A9">
              <w:rPr>
                <w:rStyle w:val="Hyperlink"/>
              </w:rPr>
              <w:t>CommVault Configuration Checklist</w:t>
            </w:r>
            <w:r>
              <w:tab/>
            </w:r>
            <w:r>
              <w:fldChar w:fldCharType="begin"/>
            </w:r>
            <w:r>
              <w:instrText xml:space="preserve">PAGEREF _Toc2101802308 \h</w:instrText>
            </w:r>
            <w:r>
              <w:fldChar w:fldCharType="separate"/>
            </w:r>
            <w:r w:rsidRPr="0D6457A9" w:rsidR="0D6457A9">
              <w:rPr>
                <w:rStyle w:val="Hyperlink"/>
              </w:rPr>
              <w:t>1</w:t>
            </w:r>
            <w:r>
              <w:fldChar w:fldCharType="end"/>
            </w:r>
          </w:hyperlink>
        </w:p>
        <w:p w:rsidR="00824B31" w:rsidP="0D6457A9" w:rsidRDefault="00023FDF" w14:paraId="3C131E24" w14:textId="73DD53D3">
          <w:pPr>
            <w:pStyle w:val="TOC1"/>
            <w:tabs>
              <w:tab w:val="right" w:leader="dot" w:pos="9360"/>
            </w:tabs>
            <w:rPr>
              <w:rStyle w:val="Hyperlink"/>
              <w:noProof/>
            </w:rPr>
          </w:pPr>
          <w:hyperlink w:anchor="_Toc1499687799">
            <w:r w:rsidRPr="0D6457A9" w:rsidR="0D6457A9">
              <w:rPr>
                <w:rStyle w:val="Hyperlink"/>
              </w:rPr>
              <w:t>Supported Collection Types</w:t>
            </w:r>
            <w:r>
              <w:tab/>
            </w:r>
            <w:r>
              <w:fldChar w:fldCharType="begin"/>
            </w:r>
            <w:r>
              <w:instrText xml:space="preserve">PAGEREF _Toc1499687799 \h</w:instrText>
            </w:r>
            <w:r>
              <w:fldChar w:fldCharType="separate"/>
            </w:r>
            <w:r w:rsidRPr="0D6457A9" w:rsidR="0D6457A9">
              <w:rPr>
                <w:rStyle w:val="Hyperlink"/>
              </w:rPr>
              <w:t>2</w:t>
            </w:r>
            <w:r>
              <w:fldChar w:fldCharType="end"/>
            </w:r>
          </w:hyperlink>
        </w:p>
        <w:p w:rsidR="00824B31" w:rsidP="0D6457A9" w:rsidRDefault="00023FDF" w14:paraId="44782E82" w14:textId="3266FD75">
          <w:pPr>
            <w:pStyle w:val="TOC1"/>
            <w:tabs>
              <w:tab w:val="right" w:leader="dot" w:pos="9360"/>
            </w:tabs>
            <w:rPr>
              <w:rStyle w:val="Hyperlink"/>
              <w:noProof/>
            </w:rPr>
          </w:pPr>
          <w:hyperlink w:anchor="_Toc1725204438">
            <w:r w:rsidRPr="0D6457A9" w:rsidR="0D6457A9">
              <w:rPr>
                <w:rStyle w:val="Hyperlink"/>
              </w:rPr>
              <w:t>Data Sources</w:t>
            </w:r>
            <w:r>
              <w:tab/>
            </w:r>
            <w:r>
              <w:fldChar w:fldCharType="begin"/>
            </w:r>
            <w:r>
              <w:instrText xml:space="preserve">PAGEREF _Toc1725204438 \h</w:instrText>
            </w:r>
            <w:r>
              <w:fldChar w:fldCharType="separate"/>
            </w:r>
            <w:r w:rsidRPr="0D6457A9" w:rsidR="0D6457A9">
              <w:rPr>
                <w:rStyle w:val="Hyperlink"/>
              </w:rPr>
              <w:t>2</w:t>
            </w:r>
            <w:r>
              <w:fldChar w:fldCharType="end"/>
            </w:r>
          </w:hyperlink>
        </w:p>
        <w:p w:rsidR="00824B31" w:rsidP="0D6457A9" w:rsidRDefault="00023FDF" w14:paraId="519D0C7D" w14:textId="749D4DD7">
          <w:pPr>
            <w:pStyle w:val="TOC1"/>
            <w:tabs>
              <w:tab w:val="right" w:leader="dot" w:pos="9360"/>
            </w:tabs>
            <w:rPr>
              <w:rStyle w:val="Hyperlink"/>
              <w:noProof/>
            </w:rPr>
          </w:pPr>
          <w:hyperlink w:anchor="_Toc1518433532">
            <w:r w:rsidRPr="0D6457A9" w:rsidR="0D6457A9">
              <w:rPr>
                <w:rStyle w:val="Hyperlink"/>
              </w:rPr>
              <w:t>Requirements</w:t>
            </w:r>
            <w:r>
              <w:tab/>
            </w:r>
            <w:r>
              <w:fldChar w:fldCharType="begin"/>
            </w:r>
            <w:r>
              <w:instrText xml:space="preserve">PAGEREF _Toc1518433532 \h</w:instrText>
            </w:r>
            <w:r>
              <w:fldChar w:fldCharType="separate"/>
            </w:r>
            <w:r w:rsidRPr="0D6457A9" w:rsidR="0D6457A9">
              <w:rPr>
                <w:rStyle w:val="Hyperlink"/>
              </w:rPr>
              <w:t>3</w:t>
            </w:r>
            <w:r>
              <w:fldChar w:fldCharType="end"/>
            </w:r>
          </w:hyperlink>
        </w:p>
        <w:p w:rsidR="00824B31" w:rsidP="0D6457A9" w:rsidRDefault="00023FDF" w14:paraId="10F4FA65" w14:textId="7EFB9714">
          <w:pPr>
            <w:pStyle w:val="TOC2"/>
            <w:tabs>
              <w:tab w:val="right" w:leader="dot" w:pos="9360"/>
            </w:tabs>
            <w:rPr>
              <w:rStyle w:val="Hyperlink"/>
              <w:noProof/>
            </w:rPr>
          </w:pPr>
          <w:hyperlink w:anchor="_Toc1011625399">
            <w:r w:rsidRPr="0D6457A9" w:rsidR="0D6457A9">
              <w:rPr>
                <w:rStyle w:val="Hyperlink"/>
              </w:rPr>
              <w:t>CommVault Ports:</w:t>
            </w:r>
            <w:r>
              <w:tab/>
            </w:r>
            <w:r>
              <w:fldChar w:fldCharType="begin"/>
            </w:r>
            <w:r>
              <w:instrText xml:space="preserve">PAGEREF _Toc1011625399 \h</w:instrText>
            </w:r>
            <w:r>
              <w:fldChar w:fldCharType="separate"/>
            </w:r>
            <w:r w:rsidRPr="0D6457A9" w:rsidR="0D6457A9">
              <w:rPr>
                <w:rStyle w:val="Hyperlink"/>
              </w:rPr>
              <w:t>3</w:t>
            </w:r>
            <w:r>
              <w:fldChar w:fldCharType="end"/>
            </w:r>
          </w:hyperlink>
        </w:p>
        <w:p w:rsidR="00824B31" w:rsidP="0D6457A9" w:rsidRDefault="00023FDF" w14:paraId="2136A625" w14:textId="31AF90A5">
          <w:pPr>
            <w:pStyle w:val="TOC1"/>
            <w:tabs>
              <w:tab w:val="right" w:leader="dot" w:pos="9360"/>
            </w:tabs>
            <w:rPr>
              <w:rStyle w:val="Hyperlink"/>
              <w:noProof/>
            </w:rPr>
          </w:pPr>
          <w:hyperlink w:anchor="_Toc925038141">
            <w:r w:rsidRPr="0D6457A9" w:rsidR="0D6457A9">
              <w:rPr>
                <w:rStyle w:val="Hyperlink"/>
              </w:rPr>
              <w:t>Setup</w:t>
            </w:r>
            <w:r>
              <w:tab/>
            </w:r>
            <w:r>
              <w:fldChar w:fldCharType="begin"/>
            </w:r>
            <w:r>
              <w:instrText xml:space="preserve">PAGEREF _Toc925038141 \h</w:instrText>
            </w:r>
            <w:r>
              <w:fldChar w:fldCharType="separate"/>
            </w:r>
            <w:r w:rsidRPr="0D6457A9" w:rsidR="0D6457A9">
              <w:rPr>
                <w:rStyle w:val="Hyperlink"/>
              </w:rPr>
              <w:t>3</w:t>
            </w:r>
            <w:r>
              <w:fldChar w:fldCharType="end"/>
            </w:r>
          </w:hyperlink>
        </w:p>
        <w:p w:rsidR="00824B31" w:rsidP="0D6457A9" w:rsidRDefault="00023FDF" w14:paraId="4890AEC9" w14:textId="2EB3861F">
          <w:pPr>
            <w:pStyle w:val="TOC2"/>
            <w:tabs>
              <w:tab w:val="right" w:leader="dot" w:pos="9360"/>
            </w:tabs>
            <w:rPr>
              <w:rStyle w:val="Hyperlink"/>
              <w:noProof/>
            </w:rPr>
          </w:pPr>
          <w:hyperlink w:anchor="_Toc408189270">
            <w:r w:rsidRPr="0D6457A9" w:rsidR="0D6457A9">
              <w:rPr>
                <w:rStyle w:val="Hyperlink"/>
              </w:rPr>
              <w:t>Server Properties</w:t>
            </w:r>
            <w:r>
              <w:tab/>
            </w:r>
            <w:r>
              <w:fldChar w:fldCharType="begin"/>
            </w:r>
            <w:r>
              <w:instrText xml:space="preserve">PAGEREF _Toc408189270 \h</w:instrText>
            </w:r>
            <w:r>
              <w:fldChar w:fldCharType="separate"/>
            </w:r>
            <w:r w:rsidRPr="0D6457A9" w:rsidR="0D6457A9">
              <w:rPr>
                <w:rStyle w:val="Hyperlink"/>
              </w:rPr>
              <w:t>4</w:t>
            </w:r>
            <w:r>
              <w:fldChar w:fldCharType="end"/>
            </w:r>
          </w:hyperlink>
        </w:p>
        <w:p w:rsidR="00824B31" w:rsidP="0D6457A9" w:rsidRDefault="00023FDF" w14:paraId="718E2A96" w14:textId="2E273BAD">
          <w:pPr>
            <w:pStyle w:val="TOC2"/>
            <w:tabs>
              <w:tab w:val="right" w:leader="dot" w:pos="9360"/>
            </w:tabs>
            <w:rPr>
              <w:rStyle w:val="Hyperlink"/>
              <w:noProof/>
            </w:rPr>
          </w:pPr>
          <w:hyperlink w:anchor="_Toc851711006">
            <w:r w:rsidRPr="0D6457A9" w:rsidR="0D6457A9">
              <w:rPr>
                <w:rStyle w:val="Hyperlink"/>
              </w:rPr>
              <w:t>Field Definitions</w:t>
            </w:r>
            <w:r>
              <w:tab/>
            </w:r>
            <w:r>
              <w:fldChar w:fldCharType="begin"/>
            </w:r>
            <w:r>
              <w:instrText xml:space="preserve">PAGEREF _Toc851711006 \h</w:instrText>
            </w:r>
            <w:r>
              <w:fldChar w:fldCharType="separate"/>
            </w:r>
            <w:r w:rsidRPr="0D6457A9" w:rsidR="0D6457A9">
              <w:rPr>
                <w:rStyle w:val="Hyperlink"/>
              </w:rPr>
              <w:t>4</w:t>
            </w:r>
            <w:r>
              <w:fldChar w:fldCharType="end"/>
            </w:r>
          </w:hyperlink>
        </w:p>
        <w:p w:rsidR="00824B31" w:rsidP="0D6457A9" w:rsidRDefault="00023FDF" w14:paraId="7604A6F6" w14:textId="1E22F8C0">
          <w:pPr>
            <w:pStyle w:val="TOC1"/>
            <w:tabs>
              <w:tab w:val="right" w:leader="dot" w:pos="9360"/>
            </w:tabs>
            <w:rPr>
              <w:rStyle w:val="Hyperlink"/>
              <w:noProof/>
            </w:rPr>
          </w:pPr>
          <w:hyperlink w:anchor="_Toc2143701050">
            <w:r w:rsidRPr="0D6457A9" w:rsidR="0D6457A9">
              <w:rPr>
                <w:rStyle w:val="Hyperlink"/>
              </w:rPr>
              <w:t>Reporting Notes</w:t>
            </w:r>
            <w:r>
              <w:tab/>
            </w:r>
            <w:r>
              <w:fldChar w:fldCharType="begin"/>
            </w:r>
            <w:r>
              <w:instrText xml:space="preserve">PAGEREF _Toc2143701050 \h</w:instrText>
            </w:r>
            <w:r>
              <w:fldChar w:fldCharType="separate"/>
            </w:r>
            <w:r w:rsidRPr="0D6457A9" w:rsidR="0D6457A9">
              <w:rPr>
                <w:rStyle w:val="Hyperlink"/>
              </w:rPr>
              <w:t>4</w:t>
            </w:r>
            <w:r>
              <w:fldChar w:fldCharType="end"/>
            </w:r>
          </w:hyperlink>
        </w:p>
        <w:p w:rsidR="00824B31" w:rsidP="0D6457A9" w:rsidRDefault="00023FDF" w14:paraId="2B862FEB" w14:textId="57536745">
          <w:pPr>
            <w:pStyle w:val="TOC2"/>
            <w:tabs>
              <w:tab w:val="right" w:leader="dot" w:pos="9360"/>
            </w:tabs>
            <w:rPr>
              <w:rStyle w:val="Hyperlink"/>
              <w:noProof/>
            </w:rPr>
          </w:pPr>
          <w:hyperlink w:anchor="_Toc233487554">
            <w:r w:rsidRPr="0D6457A9" w:rsidR="0D6457A9">
              <w:rPr>
                <w:rStyle w:val="Hyperlink"/>
              </w:rPr>
              <w:t>No Reporting Notes available at this time.</w:t>
            </w:r>
            <w:r>
              <w:tab/>
            </w:r>
            <w:r>
              <w:fldChar w:fldCharType="begin"/>
            </w:r>
            <w:r>
              <w:instrText xml:space="preserve">PAGEREF _Toc233487554 \h</w:instrText>
            </w:r>
            <w:r>
              <w:fldChar w:fldCharType="separate"/>
            </w:r>
            <w:r w:rsidRPr="0D6457A9" w:rsidR="0D6457A9">
              <w:rPr>
                <w:rStyle w:val="Hyperlink"/>
              </w:rPr>
              <w:t>5</w:t>
            </w:r>
            <w:r>
              <w:fldChar w:fldCharType="end"/>
            </w:r>
          </w:hyperlink>
        </w:p>
        <w:p w:rsidR="00824B31" w:rsidP="0D6457A9" w:rsidRDefault="00023FDF" w14:paraId="55E90A49" w14:textId="7E46C7D9">
          <w:pPr>
            <w:pStyle w:val="TOC1"/>
            <w:tabs>
              <w:tab w:val="right" w:leader="dot" w:pos="9360"/>
            </w:tabs>
            <w:rPr>
              <w:rStyle w:val="Hyperlink"/>
              <w:noProof/>
            </w:rPr>
          </w:pPr>
          <w:hyperlink w:anchor="_Toc1203920531">
            <w:r w:rsidRPr="0D6457A9" w:rsidR="0D6457A9">
              <w:rPr>
                <w:rStyle w:val="Hyperlink"/>
              </w:rPr>
              <w:t>Appendix A: Troubleshooting</w:t>
            </w:r>
            <w:r>
              <w:tab/>
            </w:r>
            <w:r>
              <w:fldChar w:fldCharType="begin"/>
            </w:r>
            <w:r>
              <w:instrText xml:space="preserve">PAGEREF _Toc1203920531 \h</w:instrText>
            </w:r>
            <w:r>
              <w:fldChar w:fldCharType="separate"/>
            </w:r>
            <w:r w:rsidRPr="0D6457A9" w:rsidR="0D6457A9">
              <w:rPr>
                <w:rStyle w:val="Hyperlink"/>
              </w:rPr>
              <w:t>5</w:t>
            </w:r>
            <w:r>
              <w:fldChar w:fldCharType="end"/>
            </w:r>
          </w:hyperlink>
        </w:p>
        <w:p w:rsidR="00824B31" w:rsidP="0D6457A9" w:rsidRDefault="00023FDF" w14:paraId="683C6A09" w14:textId="666C4DCB">
          <w:pPr>
            <w:pStyle w:val="TOC2"/>
            <w:tabs>
              <w:tab w:val="right" w:leader="dot" w:pos="9360"/>
            </w:tabs>
            <w:rPr>
              <w:rStyle w:val="Hyperlink"/>
              <w:noProof/>
            </w:rPr>
          </w:pPr>
          <w:hyperlink w:anchor="_Toc904347132">
            <w:r w:rsidRPr="0D6457A9" w:rsidR="0D6457A9">
              <w:rPr>
                <w:rStyle w:val="Hyperlink"/>
              </w:rPr>
              <w:t>Debug Logging</w:t>
            </w:r>
            <w:r>
              <w:tab/>
            </w:r>
            <w:r>
              <w:fldChar w:fldCharType="begin"/>
            </w:r>
            <w:r>
              <w:instrText xml:space="preserve">PAGEREF _Toc904347132 \h</w:instrText>
            </w:r>
            <w:r>
              <w:fldChar w:fldCharType="separate"/>
            </w:r>
            <w:r w:rsidRPr="0D6457A9" w:rsidR="0D6457A9">
              <w:rPr>
                <w:rStyle w:val="Hyperlink"/>
              </w:rPr>
              <w:t>5</w:t>
            </w:r>
            <w:r>
              <w:fldChar w:fldCharType="end"/>
            </w:r>
          </w:hyperlink>
        </w:p>
        <w:p w:rsidR="00824B31" w:rsidP="0D6457A9" w:rsidRDefault="00023FDF" w14:paraId="70BCBB1A" w14:textId="20F358B8">
          <w:pPr>
            <w:pStyle w:val="TOC1"/>
            <w:tabs>
              <w:tab w:val="right" w:leader="dot" w:pos="9360"/>
            </w:tabs>
            <w:rPr>
              <w:rStyle w:val="Hyperlink"/>
              <w:noProof/>
            </w:rPr>
          </w:pPr>
          <w:hyperlink w:anchor="_Toc356037273">
            <w:r w:rsidRPr="0D6457A9" w:rsidR="0D6457A9">
              <w:rPr>
                <w:rStyle w:val="Hyperlink"/>
              </w:rPr>
              <w:t>Appendix B: Mapping CommVault fields to Bocada</w:t>
            </w:r>
            <w:r>
              <w:tab/>
            </w:r>
            <w:r>
              <w:fldChar w:fldCharType="begin"/>
            </w:r>
            <w:r>
              <w:instrText xml:space="preserve">PAGEREF _Toc356037273 \h</w:instrText>
            </w:r>
            <w:r>
              <w:fldChar w:fldCharType="separate"/>
            </w:r>
            <w:r w:rsidRPr="0D6457A9" w:rsidR="0D6457A9">
              <w:rPr>
                <w:rStyle w:val="Hyperlink"/>
              </w:rPr>
              <w:t>5</w:t>
            </w:r>
            <w:r>
              <w:fldChar w:fldCharType="end"/>
            </w:r>
          </w:hyperlink>
        </w:p>
        <w:p w:rsidR="0D6457A9" w:rsidP="0D6457A9" w:rsidRDefault="0D6457A9" w14:paraId="003C263A" w14:textId="2A9B73E2">
          <w:pPr>
            <w:pStyle w:val="TOC2"/>
            <w:tabs>
              <w:tab w:val="right" w:leader="dot" w:pos="9360"/>
            </w:tabs>
            <w:rPr>
              <w:rStyle w:val="Hyperlink"/>
            </w:rPr>
          </w:pPr>
          <w:hyperlink w:anchor="_Toc1511719340">
            <w:r w:rsidRPr="0D6457A9" w:rsidR="0D6457A9">
              <w:rPr>
                <w:rStyle w:val="Hyperlink"/>
              </w:rPr>
              <w:t>CommVault Mapping Table</w:t>
            </w:r>
            <w:r>
              <w:tab/>
            </w:r>
            <w:r>
              <w:fldChar w:fldCharType="begin"/>
            </w:r>
            <w:r>
              <w:instrText xml:space="preserve">PAGEREF _Toc1511719340 \h</w:instrText>
            </w:r>
            <w:r>
              <w:fldChar w:fldCharType="separate"/>
            </w:r>
            <w:r w:rsidRPr="0D6457A9" w:rsidR="0D6457A9">
              <w:rPr>
                <w:rStyle w:val="Hyperlink"/>
              </w:rPr>
              <w:t>6</w:t>
            </w:r>
            <w:r>
              <w:fldChar w:fldCharType="end"/>
            </w:r>
          </w:hyperlink>
        </w:p>
        <w:p w:rsidR="0D6457A9" w:rsidP="0D6457A9" w:rsidRDefault="0D6457A9" w14:paraId="50CEE4E0" w14:textId="01CE9453">
          <w:pPr>
            <w:pStyle w:val="TOC1"/>
            <w:tabs>
              <w:tab w:val="right" w:leader="dot" w:pos="9360"/>
            </w:tabs>
            <w:rPr>
              <w:rStyle w:val="Hyperlink"/>
            </w:rPr>
          </w:pPr>
          <w:hyperlink w:anchor="_Toc1854445477">
            <w:r w:rsidRPr="0D6457A9" w:rsidR="0D6457A9">
              <w:rPr>
                <w:rStyle w:val="Hyperlink"/>
              </w:rPr>
              <w:t>Technical Support</w:t>
            </w:r>
            <w:r>
              <w:tab/>
            </w:r>
            <w:r>
              <w:fldChar w:fldCharType="begin"/>
            </w:r>
            <w:r>
              <w:instrText xml:space="preserve">PAGEREF _Toc1854445477 \h</w:instrText>
            </w:r>
            <w:r>
              <w:fldChar w:fldCharType="separate"/>
            </w:r>
            <w:r w:rsidRPr="0D6457A9" w:rsidR="0D6457A9">
              <w:rPr>
                <w:rStyle w:val="Hyperlink"/>
              </w:rPr>
              <w:t>6</w:t>
            </w:r>
            <w:r>
              <w:fldChar w:fldCharType="end"/>
            </w:r>
          </w:hyperlink>
          <w:r>
            <w:fldChar w:fldCharType="end"/>
          </w:r>
        </w:p>
      </w:sdtContent>
    </w:sdt>
    <w:p w:rsidR="009D0CF8" w:rsidP="004244CB" w:rsidRDefault="009D0CF8" w14:paraId="1F196240" w14:textId="1472BAD9" w14:noSpellErr="1">
      <w:pPr>
        <w:spacing w:line="360" w:lineRule="auto"/>
      </w:pPr>
    </w:p>
    <w:p w:rsidR="00E601FC" w:rsidP="00E601FC" w:rsidRDefault="00E601FC" w14:paraId="199C1E25" w14:textId="6F9429B1" w14:noSpellErr="1">
      <w:pPr>
        <w:pStyle w:val="Heading1"/>
      </w:pPr>
      <w:bookmarkStart w:name="_Toc509319667" w:id="2"/>
      <w:bookmarkStart w:name="_Toc509389750" w:id="3"/>
      <w:bookmarkStart w:name="_Toc509395265" w:id="4"/>
      <w:bookmarkStart w:name="_Toc510015562" w:id="5"/>
      <w:bookmarkStart w:name="_Toc510086337" w:id="6"/>
      <w:bookmarkStart w:name="_Hlk510015612" w:id="8"/>
      <w:bookmarkEnd w:id="1"/>
      <w:bookmarkEnd w:id="0"/>
      <w:bookmarkStart w:name="_Toc2101802308" w:id="535960026"/>
      <w:r w:rsidRPr="0D6457A9" w:rsidR="00E601FC">
        <w:rPr>
          <w:rFonts w:cs="Calibri" w:cstheme="minorAscii"/>
        </w:rPr>
        <w:t>CommVault</w:t>
      </w:r>
      <w:r w:rsidR="00E601FC">
        <w:rPr/>
        <w:t xml:space="preserve"> Configuration Checklist</w:t>
      </w:r>
      <w:bookmarkEnd w:id="2"/>
      <w:bookmarkEnd w:id="3"/>
      <w:bookmarkEnd w:id="4"/>
      <w:bookmarkEnd w:id="5"/>
      <w:bookmarkEnd w:id="6"/>
      <w:bookmarkEnd w:id="535960026"/>
    </w:p>
    <w:p w:rsidR="00E601FC" w:rsidP="00740C46" w:rsidRDefault="00E601FC" w14:paraId="153D28BE" w14:textId="1D9404E9">
      <w:pPr>
        <w:spacing w:before="240"/>
      </w:pPr>
      <w:r>
        <w:t xml:space="preserve">While detailed steps are included below, this is an overview of the steps to configure </w:t>
      </w:r>
      <w:r>
        <w:rPr>
          <w:rFonts w:cstheme="minorHAnsi"/>
          <w:szCs w:val="22"/>
        </w:rPr>
        <w:t>CommVault</w:t>
      </w:r>
      <w:r>
        <w:t xml:space="preserve"> collections on your Bocada Data Collection Server:</w:t>
      </w:r>
    </w:p>
    <w:p w:rsidR="00E601FC" w:rsidP="00E601FC" w:rsidRDefault="00E601FC" w14:paraId="6650B672" w14:textId="77777777">
      <w:pPr>
        <w:pStyle w:val="ListParagraph"/>
      </w:pPr>
    </w:p>
    <w:p w:rsidR="00E601FC" w:rsidP="00E601FC" w:rsidRDefault="00E601FC" w14:paraId="7E04E75E" w14:textId="1C657298">
      <w:pPr>
        <w:pStyle w:val="ListParagraph"/>
        <w:numPr>
          <w:ilvl w:val="0"/>
          <w:numId w:val="6"/>
        </w:numPr>
      </w:pPr>
      <w:r>
        <w:t xml:space="preserve">Verify </w:t>
      </w:r>
      <w:r w:rsidR="00634510">
        <w:t xml:space="preserve">the server, SQL instance name, and </w:t>
      </w:r>
      <w:r>
        <w:t>name</w:t>
      </w:r>
      <w:r w:rsidR="00634510">
        <w:t xml:space="preserve"> </w:t>
      </w:r>
      <w:r>
        <w:t xml:space="preserve">of the </w:t>
      </w:r>
      <w:r>
        <w:rPr>
          <w:rFonts w:cstheme="minorHAnsi"/>
          <w:szCs w:val="22"/>
        </w:rPr>
        <w:t>CommServe</w:t>
      </w:r>
      <w:r>
        <w:t xml:space="preserve"> database. </w:t>
      </w:r>
    </w:p>
    <w:p w:rsidR="00E601FC" w:rsidP="00E601FC" w:rsidRDefault="00E601FC" w14:paraId="1D2D0ACB" w14:textId="7AE9E54A">
      <w:pPr>
        <w:pStyle w:val="ListParagraph"/>
        <w:numPr>
          <w:ilvl w:val="0"/>
          <w:numId w:val="6"/>
        </w:numPr>
      </w:pPr>
      <w:r>
        <w:t xml:space="preserve">Verify required TCP port has been opened. </w:t>
      </w:r>
    </w:p>
    <w:p w:rsidR="00634510" w:rsidP="00E601FC" w:rsidRDefault="00634510" w14:paraId="7A0E514C" w14:textId="064491AE">
      <w:pPr>
        <w:pStyle w:val="ListParagraph"/>
        <w:numPr>
          <w:ilvl w:val="0"/>
          <w:numId w:val="6"/>
        </w:numPr>
      </w:pPr>
      <w:r>
        <w:t>Verify that you have user credentials to access the Commvault database directly.</w:t>
      </w:r>
    </w:p>
    <w:p w:rsidR="005944EB" w:rsidP="005944EB" w:rsidRDefault="005944EB" w14:paraId="7BC23313" w14:textId="600A7612" w14:noSpellErr="1">
      <w:pPr>
        <w:pStyle w:val="Heading1"/>
      </w:pPr>
      <w:bookmarkEnd w:id="8"/>
      <w:bookmarkStart w:name="_Toc1499687799" w:id="1417676324"/>
      <w:r w:rsidR="005944EB">
        <w:rPr/>
        <w:t>Supported Collection Types</w:t>
      </w:r>
      <w:bookmarkEnd w:id="1417676324"/>
    </w:p>
    <w:p w:rsidRPr="005944EB" w:rsidR="005944EB" w:rsidP="005944EB" w:rsidRDefault="005944EB" w14:paraId="60389EA1" w14:textId="77777777"/>
    <w:p w:rsidR="005944EB" w:rsidP="005944EB" w:rsidRDefault="005944EB" w14:paraId="35548F88" w14:textId="7EDC83D0">
      <w:pPr>
        <w:spacing w:line="276" w:lineRule="auto"/>
        <w:rPr>
          <w:rFonts w:cstheme="minorHAnsi"/>
          <w:szCs w:val="22"/>
        </w:rPr>
      </w:pPr>
      <w:r>
        <w:rPr>
          <w:rFonts w:cstheme="minorHAnsi"/>
          <w:szCs w:val="22"/>
        </w:rPr>
        <w:t xml:space="preserve">The plugin currently supports the following collection types from </w:t>
      </w:r>
      <w:r w:rsidR="0059551A">
        <w:rPr>
          <w:rFonts w:cstheme="minorHAnsi"/>
          <w:szCs w:val="22"/>
        </w:rPr>
        <w:t>CommVault</w:t>
      </w:r>
      <w:r>
        <w:rPr>
          <w:rFonts w:cstheme="minorHAnsi"/>
          <w:szCs w:val="22"/>
        </w:rPr>
        <w:t xml:space="preserve"> servers:</w:t>
      </w:r>
    </w:p>
    <w:tbl>
      <w:tblPr>
        <w:tblW w:w="9320" w:type="dxa"/>
        <w:tblInd w:w="93" w:type="dxa"/>
        <w:tblLook w:val="04A0" w:firstRow="1" w:lastRow="0" w:firstColumn="1" w:lastColumn="0" w:noHBand="0" w:noVBand="1"/>
      </w:tblPr>
      <w:tblGrid>
        <w:gridCol w:w="1700"/>
        <w:gridCol w:w="1200"/>
        <w:gridCol w:w="6420"/>
      </w:tblGrid>
      <w:tr w:rsidRPr="005944EB" w:rsidR="005944EB" w:rsidTr="64280B40" w14:paraId="32C4E97B" w14:textId="77777777">
        <w:trPr>
          <w:trHeight w:val="330"/>
        </w:trPr>
        <w:tc>
          <w:tcPr>
            <w:tcW w:w="1700"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4F81BD" w:themeFill="accent1"/>
            <w:vAlign w:val="center"/>
            <w:hideMark/>
          </w:tcPr>
          <w:p w:rsidRPr="005944EB" w:rsidR="005944EB" w:rsidP="005944EB" w:rsidRDefault="005944EB" w14:paraId="72D0C1E3" w14:textId="77777777">
            <w:pPr>
              <w:jc w:val="center"/>
              <w:rPr>
                <w:rFonts w:ascii="Calibri" w:hAnsi="Calibri" w:cs="Calibri"/>
                <w:b/>
                <w:bCs/>
                <w:color w:val="FFFFFF"/>
              </w:rPr>
            </w:pPr>
            <w:r w:rsidRPr="005944EB">
              <w:rPr>
                <w:rFonts w:ascii="Calibri" w:hAnsi="Calibri" w:cs="Calibri"/>
                <w:b/>
                <w:bCs/>
                <w:color w:val="FFFFFF"/>
              </w:rPr>
              <w:t>Collection Type</w:t>
            </w:r>
          </w:p>
        </w:tc>
        <w:tc>
          <w:tcPr>
            <w:tcW w:w="120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5944EB" w:rsidP="005944EB" w:rsidRDefault="005944EB" w14:paraId="4DAB10CF" w14:textId="77777777">
            <w:pPr>
              <w:jc w:val="center"/>
              <w:rPr>
                <w:rFonts w:ascii="Calibri" w:hAnsi="Calibri" w:cs="Calibri"/>
                <w:b/>
                <w:bCs/>
                <w:color w:val="FFFFFF"/>
              </w:rPr>
            </w:pPr>
            <w:r w:rsidRPr="005944EB">
              <w:rPr>
                <w:rFonts w:ascii="Calibri" w:hAnsi="Calibri" w:cs="Calibri"/>
                <w:b/>
                <w:bCs/>
                <w:color w:val="FFFFFF"/>
              </w:rPr>
              <w:t>Supported</w:t>
            </w:r>
          </w:p>
        </w:tc>
        <w:tc>
          <w:tcPr>
            <w:tcW w:w="642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5944EB" w:rsidP="005944EB" w:rsidRDefault="005944EB" w14:paraId="36B0AC0B"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5944EB" w:rsidTr="64280B40" w14:paraId="724AE501" w14:textId="77777777">
        <w:trPr>
          <w:trHeight w:val="9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473DD219" w14:textId="2FBCB800">
            <w:pPr>
              <w:rPr>
                <w:rFonts w:ascii="Calibri" w:hAnsi="Calibri" w:cs="Calibri"/>
                <w:color w:val="000000"/>
                <w:szCs w:val="22"/>
              </w:rPr>
            </w:pPr>
            <w:r w:rsidRPr="005944EB">
              <w:rPr>
                <w:rFonts w:ascii="Calibri" w:hAnsi="Calibri" w:cs="Calibri"/>
                <w:color w:val="000000"/>
                <w:szCs w:val="22"/>
              </w:rPr>
              <w:t>Backup</w:t>
            </w:r>
            <w:r w:rsidR="0059551A">
              <w:rPr>
                <w:rFonts w:ascii="Calibri" w:hAnsi="Calibri" w:cs="Calibri"/>
                <w:color w:val="000000"/>
                <w:szCs w:val="22"/>
              </w:rPr>
              <w:t>*</w:t>
            </w:r>
          </w:p>
        </w:tc>
        <w:tc>
          <w:tcPr>
            <w:tcW w:w="120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29B1EEB0"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6420" w:type="dxa"/>
            <w:tcBorders>
              <w:top w:val="nil"/>
              <w:left w:val="nil"/>
              <w:bottom w:val="single" w:color="4BACC6" w:themeColor="accent5" w:sz="8" w:space="0"/>
              <w:right w:val="single" w:color="4BACC6" w:themeColor="accent5" w:sz="8" w:space="0"/>
            </w:tcBorders>
            <w:shd w:val="clear" w:color="auto" w:fill="auto"/>
            <w:vAlign w:val="center"/>
            <w:hideMark/>
          </w:tcPr>
          <w:p w:rsidRPr="00BD5F4F" w:rsidR="005944EB" w:rsidP="005944EB" w:rsidRDefault="005944EB" w14:paraId="2A1E951B" w14:textId="5D5D0A67">
            <w:pPr>
              <w:rPr>
                <w:rFonts w:ascii="Calibri" w:hAnsi="Calibri" w:cs="Calibri"/>
                <w:color w:val="000000"/>
                <w:szCs w:val="22"/>
              </w:rPr>
            </w:pPr>
            <w:r w:rsidRPr="00BD5F4F">
              <w:rPr>
                <w:rFonts w:ascii="Calibri" w:hAnsi="Calibri" w:cs="Calibri"/>
                <w:color w:val="000000"/>
                <w:szCs w:val="22"/>
              </w:rPr>
              <w:t>Collects transactional details about backup, duplication and restore jobs. Example metrics include, start times, durations, bytes, files, errors etc.</w:t>
            </w:r>
            <w:r w:rsidR="00BE799E">
              <w:rPr>
                <w:rFonts w:ascii="Calibri" w:hAnsi="Calibri" w:cs="Calibri"/>
                <w:color w:val="000000"/>
                <w:szCs w:val="22"/>
              </w:rPr>
              <w:t xml:space="preserve"> This includes In Progress </w:t>
            </w:r>
            <w:r w:rsidR="00632A92">
              <w:rPr>
                <w:rFonts w:ascii="Calibri" w:hAnsi="Calibri" w:cs="Calibri"/>
                <w:color w:val="000000"/>
                <w:szCs w:val="22"/>
              </w:rPr>
              <w:t>jobs.</w:t>
            </w:r>
          </w:p>
        </w:tc>
      </w:tr>
      <w:tr w:rsidRPr="005944EB" w:rsidR="00BD5F4F" w:rsidTr="64280B40" w14:paraId="0DE241D0" w14:textId="77777777">
        <w:trPr>
          <w:trHeight w:val="6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tcPr>
          <w:p w:rsidRPr="005944EB" w:rsidR="00BD5F4F" w:rsidP="00BD5F4F" w:rsidRDefault="00BD5F4F" w14:paraId="76CCF32B" w14:textId="4E9A0103">
            <w:pPr>
              <w:rPr>
                <w:rFonts w:ascii="Calibri" w:hAnsi="Calibri" w:cs="Calibri"/>
                <w:color w:val="000000"/>
                <w:szCs w:val="22"/>
              </w:rPr>
            </w:pPr>
            <w:r>
              <w:rPr>
                <w:rFonts w:ascii="Calibri" w:hAnsi="Calibri" w:cs="Calibri"/>
                <w:color w:val="000000"/>
                <w:szCs w:val="22"/>
              </w:rPr>
              <w:t>In Progress</w:t>
            </w:r>
          </w:p>
        </w:tc>
        <w:tc>
          <w:tcPr>
            <w:tcW w:w="1200" w:type="dxa"/>
            <w:tcBorders>
              <w:top w:val="nil"/>
              <w:left w:val="nil"/>
              <w:bottom w:val="single" w:color="4BACC6" w:themeColor="accent5" w:sz="8" w:space="0"/>
              <w:right w:val="single" w:color="4BACC6" w:themeColor="accent5" w:sz="8" w:space="0"/>
            </w:tcBorders>
            <w:shd w:val="clear" w:color="auto" w:fill="auto"/>
            <w:vAlign w:val="center"/>
          </w:tcPr>
          <w:p w:rsidRPr="005944EB" w:rsidR="00BD5F4F" w:rsidP="00BD5F4F" w:rsidRDefault="00BD5F4F" w14:paraId="2F99BF7E" w14:textId="0525A583">
            <w:pPr>
              <w:jc w:val="center"/>
              <w:rPr>
                <w:rFonts w:ascii="MS Gothic" w:hAnsi="MS Gothic" w:eastAsia="MS Gothic" w:cs="MS Gothic"/>
                <w:color w:val="000000"/>
                <w:sz w:val="36"/>
                <w:szCs w:val="36"/>
              </w:rPr>
            </w:pPr>
            <w:r w:rsidRPr="005944EB">
              <w:rPr>
                <w:rFonts w:hint="eastAsia" w:ascii="MS Gothic" w:hAnsi="MS Gothic" w:eastAsia="MS Gothic" w:cs="MS Gothic"/>
                <w:color w:val="000000"/>
                <w:sz w:val="36"/>
                <w:szCs w:val="36"/>
              </w:rPr>
              <w:t>✓</w:t>
            </w:r>
          </w:p>
        </w:tc>
        <w:tc>
          <w:tcPr>
            <w:tcW w:w="6420" w:type="dxa"/>
            <w:tcBorders>
              <w:top w:val="nil"/>
              <w:left w:val="nil"/>
              <w:bottom w:val="single" w:color="4BACC6" w:themeColor="accent5" w:sz="8" w:space="0"/>
              <w:right w:val="single" w:color="4BACC6" w:themeColor="accent5" w:sz="8" w:space="0"/>
            </w:tcBorders>
            <w:shd w:val="clear" w:color="auto" w:fill="auto"/>
            <w:vAlign w:val="center"/>
          </w:tcPr>
          <w:p w:rsidRPr="00BD5F4F" w:rsidR="00BD5F4F" w:rsidP="00BD5F4F" w:rsidRDefault="00BD5F4F" w14:paraId="38541CD1" w14:textId="67E56CB8">
            <w:pPr>
              <w:rPr>
                <w:rFonts w:ascii="Calibri" w:hAnsi="Calibri" w:cs="Calibri"/>
                <w:color w:val="000000"/>
                <w:szCs w:val="22"/>
              </w:rPr>
            </w:pPr>
            <w:r w:rsidRPr="00BD5F4F">
              <w:rPr>
                <w:rFonts w:ascii="Calibri" w:hAnsi="Calibri" w:cs="Calibri"/>
                <w:color w:val="000000"/>
                <w:szCs w:val="22"/>
              </w:rPr>
              <w:t xml:space="preserve">Collects basic information on backups that are running or have completed since the previous full Backup jobs data collection. These updates are </w:t>
            </w:r>
            <w:r w:rsidR="00632A92">
              <w:rPr>
                <w:rFonts w:ascii="Calibri" w:hAnsi="Calibri" w:cs="Calibri"/>
                <w:color w:val="000000"/>
                <w:szCs w:val="22"/>
              </w:rPr>
              <w:t>included in the Backup update</w:t>
            </w:r>
            <w:r w:rsidR="00911DBF">
              <w:rPr>
                <w:rFonts w:ascii="Calibri" w:hAnsi="Calibri" w:cs="Calibri"/>
                <w:color w:val="000000"/>
                <w:szCs w:val="22"/>
              </w:rPr>
              <w:t>s</w:t>
            </w:r>
            <w:r w:rsidR="00632A92">
              <w:rPr>
                <w:rFonts w:ascii="Calibri" w:hAnsi="Calibri" w:cs="Calibri"/>
                <w:color w:val="000000"/>
                <w:szCs w:val="22"/>
              </w:rPr>
              <w:t xml:space="preserve">, but are </w:t>
            </w:r>
            <w:r w:rsidRPr="00BD5F4F">
              <w:rPr>
                <w:rFonts w:ascii="Calibri" w:hAnsi="Calibri" w:cs="Calibri"/>
                <w:color w:val="000000"/>
                <w:szCs w:val="22"/>
              </w:rPr>
              <w:t xml:space="preserve">lightweight and </w:t>
            </w:r>
            <w:r w:rsidR="00632A92">
              <w:rPr>
                <w:rFonts w:ascii="Calibri" w:hAnsi="Calibri" w:cs="Calibri"/>
                <w:color w:val="000000"/>
                <w:szCs w:val="22"/>
              </w:rPr>
              <w:t>can</w:t>
            </w:r>
            <w:r w:rsidRPr="00BD5F4F">
              <w:rPr>
                <w:rFonts w:ascii="Calibri" w:hAnsi="Calibri" w:cs="Calibri"/>
                <w:color w:val="000000"/>
                <w:szCs w:val="22"/>
              </w:rPr>
              <w:t xml:space="preserve"> be scheduled more often than </w:t>
            </w:r>
            <w:r w:rsidR="00632A92">
              <w:rPr>
                <w:rFonts w:ascii="Calibri" w:hAnsi="Calibri" w:cs="Calibri"/>
                <w:color w:val="000000"/>
                <w:szCs w:val="22"/>
              </w:rPr>
              <w:t>backup updates if needed.</w:t>
            </w:r>
          </w:p>
        </w:tc>
      </w:tr>
      <w:tr w:rsidRPr="005944EB" w:rsidR="00BD5F4F" w:rsidTr="64280B40" w14:paraId="46B4979F" w14:textId="77777777">
        <w:trPr>
          <w:trHeight w:val="9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BD5F4F" w:rsidP="64280B40" w:rsidRDefault="2A7937A3" w14:paraId="7877FBE4" w14:textId="5BA6BD13">
            <w:pPr>
              <w:rPr>
                <w:rFonts w:ascii="Calibri" w:hAnsi="Calibri" w:cs="Calibri"/>
                <w:color w:val="000000"/>
              </w:rPr>
            </w:pPr>
            <w:r w:rsidRPr="64280B40">
              <w:rPr>
                <w:rFonts w:ascii="Calibri" w:hAnsi="Calibri" w:cs="Calibri"/>
                <w:color w:val="000000" w:themeColor="text1"/>
              </w:rPr>
              <w:t>Storage</w:t>
            </w:r>
          </w:p>
        </w:tc>
        <w:tc>
          <w:tcPr>
            <w:tcW w:w="120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BD5F4F" w:rsidP="00BD5F4F" w:rsidRDefault="00BD5F4F" w14:paraId="2E07607A" w14:textId="17367F4E">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6420" w:type="dxa"/>
            <w:tcBorders>
              <w:top w:val="nil"/>
              <w:left w:val="nil"/>
              <w:bottom w:val="single" w:color="4BACC6" w:themeColor="accent5" w:sz="8" w:space="0"/>
              <w:right w:val="single" w:color="4BACC6" w:themeColor="accent5" w:sz="8" w:space="0"/>
            </w:tcBorders>
            <w:shd w:val="clear" w:color="auto" w:fill="auto"/>
            <w:vAlign w:val="center"/>
            <w:hideMark/>
          </w:tcPr>
          <w:p w:rsidRPr="00BD5F4F" w:rsidR="00BD5F4F" w:rsidP="64280B40" w:rsidRDefault="57A18006" w14:paraId="6C0CEB87" w14:textId="119C7E7A">
            <w:pPr>
              <w:rPr>
                <w:rFonts w:ascii="Calibri" w:hAnsi="Calibri" w:cs="Calibri"/>
                <w:color w:val="000000"/>
              </w:rPr>
            </w:pPr>
            <w:r w:rsidRPr="64280B40">
              <w:rPr>
                <w:rFonts w:ascii="Calibri" w:hAnsi="Calibri" w:cs="Calibri"/>
                <w:color w:val="000000" w:themeColor="text1"/>
              </w:rPr>
              <w:t>Collects point-in-time inventory information. Example metrics include, total recoverable gigabytes (</w:t>
            </w:r>
            <w:r w:rsidRPr="64280B40" w:rsidR="25200056">
              <w:rPr>
                <w:rFonts w:ascii="Calibri" w:hAnsi="Calibri" w:cs="Calibri"/>
                <w:color w:val="000000" w:themeColor="text1"/>
              </w:rPr>
              <w:t>storage</w:t>
            </w:r>
            <w:r w:rsidRPr="64280B40">
              <w:rPr>
                <w:rFonts w:ascii="Calibri" w:hAnsi="Calibri" w:cs="Calibri"/>
                <w:color w:val="000000" w:themeColor="text1"/>
              </w:rPr>
              <w:t>), media volume count, media volume status, etc.</w:t>
            </w:r>
          </w:p>
        </w:tc>
      </w:tr>
      <w:tr w:rsidRPr="005944EB" w:rsidR="00BD5F4F" w:rsidTr="64280B40" w14:paraId="6B38234A" w14:textId="77777777">
        <w:trPr>
          <w:trHeight w:val="9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BD5F4F" w:rsidP="00BD5F4F" w:rsidRDefault="00BD5F4F" w14:paraId="19299916" w14:textId="77777777">
            <w:pPr>
              <w:rPr>
                <w:rFonts w:ascii="Calibri" w:hAnsi="Calibri" w:cs="Calibri"/>
                <w:color w:val="000000"/>
                <w:szCs w:val="22"/>
              </w:rPr>
            </w:pPr>
            <w:r w:rsidRPr="005944EB">
              <w:rPr>
                <w:rFonts w:ascii="Calibri" w:hAnsi="Calibri" w:cs="Calibri"/>
                <w:color w:val="000000"/>
                <w:szCs w:val="22"/>
              </w:rPr>
              <w:t>Policy</w:t>
            </w:r>
          </w:p>
        </w:tc>
        <w:tc>
          <w:tcPr>
            <w:tcW w:w="120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BD5F4F" w:rsidP="00BD5F4F" w:rsidRDefault="00BD5F4F" w14:paraId="6BE2B12A" w14:textId="19C82EEB">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6420" w:type="dxa"/>
            <w:tcBorders>
              <w:top w:val="nil"/>
              <w:left w:val="nil"/>
              <w:bottom w:val="single" w:color="4BACC6" w:themeColor="accent5" w:sz="8" w:space="0"/>
              <w:right w:val="single" w:color="4BACC6" w:themeColor="accent5" w:sz="8" w:space="0"/>
            </w:tcBorders>
            <w:shd w:val="clear" w:color="auto" w:fill="auto"/>
            <w:vAlign w:val="center"/>
            <w:hideMark/>
          </w:tcPr>
          <w:p w:rsidRPr="00BD5F4F" w:rsidR="00BD5F4F" w:rsidP="00BD5F4F" w:rsidRDefault="00BD5F4F" w14:paraId="72B37FBB" w14:textId="77777777">
            <w:pPr>
              <w:rPr>
                <w:rFonts w:ascii="Calibri" w:hAnsi="Calibri" w:cs="Calibri"/>
                <w:color w:val="000000"/>
                <w:szCs w:val="22"/>
              </w:rPr>
            </w:pPr>
            <w:r w:rsidRPr="00BD5F4F">
              <w:rPr>
                <w:rFonts w:ascii="Calibri" w:hAnsi="Calibri" w:cs="Calibri"/>
                <w:color w:val="000000"/>
                <w:szCs w:val="22"/>
              </w:rPr>
              <w:t>Collects and stores information on policy attributes, schedules, storage units, storage groups, storage lifecycle policies and clients.</w:t>
            </w:r>
          </w:p>
        </w:tc>
      </w:tr>
    </w:tbl>
    <w:p w:rsidR="005944EB" w:rsidP="005944EB" w:rsidRDefault="005944EB" w14:paraId="5419C5B2" w14:textId="77777777">
      <w:pPr>
        <w:rPr>
          <w:rFonts w:cstheme="minorHAnsi"/>
          <w:szCs w:val="22"/>
        </w:rPr>
      </w:pPr>
    </w:p>
    <w:p w:rsidRPr="00DA4DB6" w:rsidR="007D5CC4" w:rsidP="000749F7" w:rsidRDefault="007D5CC4" w14:paraId="7DCD7A01" w14:textId="020128B1">
      <w:pPr>
        <w:rPr>
          <w:rFonts w:ascii="Tahoma" w:hAnsi="Tahoma" w:cs="Tahoma"/>
          <w:color w:val="1E1E1E"/>
          <w:szCs w:val="22"/>
        </w:rPr>
      </w:pPr>
      <w:bookmarkStart w:name="_Hlk529881886" w:id="10"/>
      <w:r>
        <w:rPr>
          <w:rFonts w:cstheme="minorHAnsi"/>
          <w:b/>
          <w:szCs w:val="22"/>
        </w:rPr>
        <w:t xml:space="preserve">* </w:t>
      </w:r>
      <w:r w:rsidRPr="00DA4DB6">
        <w:rPr>
          <w:b/>
          <w:bCs/>
          <w:szCs w:val="22"/>
        </w:rPr>
        <w:t>Note:</w:t>
      </w:r>
      <w:r>
        <w:rPr>
          <w:b/>
          <w:bCs/>
          <w:szCs w:val="22"/>
        </w:rPr>
        <w:t xml:space="preserve"> </w:t>
      </w:r>
      <w:r w:rsidRPr="00DA4DB6">
        <w:rPr>
          <w:rFonts w:ascii="Calibri" w:hAnsi="Calibri" w:cstheme="minorHAnsi"/>
          <w:color w:val="000000"/>
          <w:szCs w:val="22"/>
        </w:rPr>
        <w:t>The</w:t>
      </w:r>
      <w:r w:rsidRPr="00DA4DB6">
        <w:rPr>
          <w:rFonts w:ascii="Calibri" w:hAnsi="Calibri" w:cstheme="minorHAnsi"/>
          <w:i/>
          <w:iCs/>
          <w:color w:val="000000"/>
          <w:szCs w:val="22"/>
        </w:rPr>
        <w:t xml:space="preserve"> VM Protection Analysis </w:t>
      </w:r>
      <w:r w:rsidRPr="00DA4DB6">
        <w:rPr>
          <w:rFonts w:ascii="Calibri" w:hAnsi="Calibri" w:cstheme="minorHAnsi"/>
          <w:color w:val="000000"/>
          <w:szCs w:val="22"/>
        </w:rPr>
        <w:t xml:space="preserve">report displays </w:t>
      </w:r>
      <w:r w:rsidR="009006F4">
        <w:rPr>
          <w:rFonts w:ascii="Calibri" w:hAnsi="Calibri" w:cstheme="minorHAnsi"/>
          <w:color w:val="000000"/>
          <w:szCs w:val="22"/>
        </w:rPr>
        <w:t xml:space="preserve">VMware VM inventory and </w:t>
      </w:r>
      <w:r w:rsidRPr="00DA4DB6">
        <w:rPr>
          <w:rFonts w:ascii="Calibri" w:hAnsi="Calibri" w:cstheme="minorHAnsi"/>
          <w:color w:val="000000"/>
          <w:szCs w:val="22"/>
        </w:rPr>
        <w:t>will indicate if those VMs are protected by backup applications</w:t>
      </w:r>
      <w:r w:rsidR="002A6240">
        <w:rPr>
          <w:rFonts w:ascii="Calibri" w:hAnsi="Calibri" w:cstheme="minorHAnsi"/>
          <w:color w:val="000000"/>
          <w:szCs w:val="22"/>
        </w:rPr>
        <w:t xml:space="preserve"> </w:t>
      </w:r>
      <w:r w:rsidRPr="00DA4DB6">
        <w:rPr>
          <w:rFonts w:ascii="Calibri" w:hAnsi="Calibri" w:cstheme="minorHAnsi"/>
          <w:color w:val="000000"/>
          <w:szCs w:val="22"/>
        </w:rPr>
        <w:t>or are exposed as unprotected</w:t>
      </w:r>
      <w:r w:rsidR="002A6240">
        <w:rPr>
          <w:rFonts w:ascii="Calibri" w:hAnsi="Calibri" w:cstheme="minorHAnsi"/>
          <w:color w:val="000000"/>
          <w:szCs w:val="22"/>
        </w:rPr>
        <w:t>.</w:t>
      </w:r>
      <w:r w:rsidR="000749F7">
        <w:rPr>
          <w:rFonts w:ascii="Calibri" w:hAnsi="Calibri" w:cstheme="minorHAnsi"/>
          <w:color w:val="000000"/>
          <w:szCs w:val="22"/>
        </w:rPr>
        <w:t xml:space="preserve"> </w:t>
      </w:r>
      <w:r w:rsidR="00882F1C">
        <w:rPr>
          <w:rFonts w:ascii="Calibri" w:hAnsi="Calibri" w:cstheme="minorHAnsi"/>
          <w:color w:val="000000"/>
          <w:szCs w:val="22"/>
        </w:rPr>
        <w:t xml:space="preserve">Bocada will </w:t>
      </w:r>
      <w:r w:rsidRPr="00DA4DB6">
        <w:rPr>
          <w:rFonts w:cstheme="minorHAnsi"/>
          <w:color w:val="000000"/>
          <w:szCs w:val="22"/>
        </w:rPr>
        <w:t xml:space="preserve">correlate </w:t>
      </w:r>
      <w:r w:rsidRPr="0059551A">
        <w:rPr>
          <w:rFonts w:cstheme="minorHAnsi"/>
          <w:color w:val="000000"/>
        </w:rPr>
        <w:t>CommVault</w:t>
      </w:r>
      <w:r w:rsidRPr="00DA4DB6">
        <w:rPr>
          <w:rFonts w:cstheme="minorHAnsi"/>
          <w:color w:val="000000"/>
          <w:szCs w:val="22"/>
        </w:rPr>
        <w:t xml:space="preserve"> client data with vCenter virtual machine data, in the following scenario: </w:t>
      </w:r>
    </w:p>
    <w:p w:rsidRPr="00DA4DB6" w:rsidR="007D5CC4" w:rsidP="007D5CC4" w:rsidRDefault="007D5CC4" w14:paraId="4ECE7292" w14:textId="77777777">
      <w:pPr>
        <w:shd w:val="clear" w:color="auto" w:fill="FFFFFF"/>
        <w:contextualSpacing w:val="0"/>
        <w:rPr>
          <w:rFonts w:ascii="Tahoma" w:hAnsi="Tahoma" w:cs="Tahoma"/>
          <w:color w:val="1E1E1E"/>
          <w:szCs w:val="22"/>
        </w:rPr>
      </w:pPr>
      <w:r w:rsidRPr="00DA4DB6">
        <w:rPr>
          <w:rFonts w:ascii="Calibri" w:hAnsi="Calibri" w:cstheme="minorHAnsi"/>
          <w:color w:val="000000"/>
          <w:szCs w:val="22"/>
        </w:rPr>
        <w:t> </w:t>
      </w:r>
    </w:p>
    <w:p w:rsidRPr="00DA4DB6" w:rsidR="007D5CC4" w:rsidP="007D5CC4" w:rsidRDefault="007D5CC4" w14:paraId="610E2EC4" w14:textId="50938E26">
      <w:pPr>
        <w:numPr>
          <w:ilvl w:val="0"/>
          <w:numId w:val="7"/>
        </w:numPr>
        <w:shd w:val="clear" w:color="auto" w:fill="FFFFFF"/>
        <w:spacing w:line="276" w:lineRule="auto"/>
        <w:contextualSpacing w:val="0"/>
        <w:rPr>
          <w:rFonts w:ascii="Tahoma" w:hAnsi="Tahoma" w:cs="Tahoma"/>
          <w:color w:val="1E1E1E"/>
          <w:szCs w:val="22"/>
        </w:rPr>
      </w:pPr>
      <w:r w:rsidRPr="00DA4DB6">
        <w:rPr>
          <w:rFonts w:ascii="Calibri" w:hAnsi="Calibri" w:cstheme="minorHAnsi"/>
          <w:color w:val="000000"/>
          <w:szCs w:val="22"/>
        </w:rPr>
        <w:t xml:space="preserve">The </w:t>
      </w:r>
      <w:r w:rsidRPr="0059551A">
        <w:rPr>
          <w:rFonts w:cstheme="minorHAnsi"/>
          <w:color w:val="000000"/>
        </w:rPr>
        <w:t>CommVault</w:t>
      </w:r>
      <w:r w:rsidRPr="00DA4DB6">
        <w:rPr>
          <w:rFonts w:ascii="Calibri" w:hAnsi="Calibri" w:cstheme="minorHAnsi"/>
          <w:color w:val="000000"/>
          <w:szCs w:val="22"/>
        </w:rPr>
        <w:t xml:space="preserve"> server backup client is a virtual machine managed by vCenter.</w:t>
      </w:r>
    </w:p>
    <w:p w:rsidR="007D5CC4" w:rsidP="007D5CC4" w:rsidRDefault="007D5CC4" w14:paraId="78250C56" w14:textId="18B3949E">
      <w:pPr>
        <w:pStyle w:val="ListParagraph"/>
        <w:numPr>
          <w:ilvl w:val="0"/>
          <w:numId w:val="7"/>
        </w:numPr>
        <w:spacing w:line="276" w:lineRule="auto"/>
        <w:rPr>
          <w:rFonts w:cstheme="minorHAnsi"/>
          <w:szCs w:val="22"/>
        </w:rPr>
      </w:pPr>
      <w:r w:rsidRPr="00071FCE">
        <w:rPr>
          <w:rFonts w:cstheme="minorHAnsi"/>
          <w:szCs w:val="22"/>
        </w:rPr>
        <w:t xml:space="preserve">The vCenter virtual machines have been </w:t>
      </w:r>
      <w:r>
        <w:rPr>
          <w:rFonts w:cstheme="minorHAnsi"/>
          <w:szCs w:val="22"/>
        </w:rPr>
        <w:t xml:space="preserve">added to Bocada data collection and </w:t>
      </w:r>
      <w:r w:rsidRPr="00071FCE">
        <w:rPr>
          <w:rFonts w:cstheme="minorHAnsi"/>
          <w:szCs w:val="22"/>
        </w:rPr>
        <w:t xml:space="preserve">previously inventoried using the vCenter plugin in </w:t>
      </w:r>
      <w:r>
        <w:rPr>
          <w:rFonts w:cstheme="minorHAnsi"/>
          <w:color w:val="000000"/>
          <w:szCs w:val="22"/>
        </w:rPr>
        <w:t>Bocada</w:t>
      </w:r>
      <w:r w:rsidRPr="00071FCE">
        <w:rPr>
          <w:rFonts w:cstheme="minorHAnsi"/>
          <w:szCs w:val="22"/>
        </w:rPr>
        <w:t>.</w:t>
      </w:r>
      <w:r>
        <w:rPr>
          <w:rFonts w:cstheme="minorHAnsi"/>
          <w:szCs w:val="22"/>
        </w:rPr>
        <w:t xml:space="preserve"> </w:t>
      </w:r>
    </w:p>
    <w:p w:rsidR="0038385F" w:rsidRDefault="0038385F" w14:paraId="3C592D44" w14:textId="67F78289">
      <w:pPr>
        <w:spacing w:after="200"/>
        <w:contextualSpacing w:val="0"/>
        <w:rPr>
          <w:rFonts w:cstheme="minorHAnsi"/>
          <w:szCs w:val="22"/>
        </w:rPr>
      </w:pPr>
      <w:r>
        <w:rPr>
          <w:rFonts w:cstheme="minorHAnsi"/>
          <w:szCs w:val="22"/>
        </w:rPr>
        <w:br w:type="page"/>
      </w:r>
    </w:p>
    <w:p w:rsidRPr="00FC0DE4" w:rsidR="00FC0DE4" w:rsidP="00FC0DE4" w:rsidRDefault="005944EB" w14:paraId="336B2BD6" w14:textId="029B6A95" w14:noSpellErr="1">
      <w:pPr>
        <w:pStyle w:val="Heading1"/>
      </w:pPr>
      <w:bookmarkEnd w:id="10"/>
      <w:bookmarkStart w:name="_Toc1725204438" w:id="1114915808"/>
      <w:r w:rsidR="005944EB">
        <w:rPr/>
        <w:t>Data Sources</w:t>
      </w:r>
      <w:bookmarkEnd w:id="1114915808"/>
    </w:p>
    <w:p w:rsidR="0059551A" w:rsidP="00740C46" w:rsidRDefault="0059551A" w14:paraId="46ADFD2F" w14:textId="789337AF">
      <w:pPr>
        <w:widowControl w:val="0"/>
        <w:autoSpaceDE w:val="0"/>
        <w:autoSpaceDN w:val="0"/>
        <w:adjustRightInd w:val="0"/>
        <w:spacing w:before="240"/>
        <w:ind w:right="-20"/>
        <w:rPr>
          <w:rFonts w:cstheme="minorHAnsi"/>
        </w:rPr>
      </w:pPr>
      <w:r w:rsidRPr="0059551A">
        <w:rPr>
          <w:rFonts w:cstheme="minorHAnsi"/>
        </w:rPr>
        <w:t xml:space="preserve">The plugin relies on the following </w:t>
      </w:r>
      <w:r w:rsidRPr="0059551A">
        <w:rPr>
          <w:rFonts w:cstheme="minorHAnsi"/>
          <w:color w:val="000000"/>
        </w:rPr>
        <w:t>CommVault</w:t>
      </w:r>
      <w:r w:rsidRPr="0059551A">
        <w:rPr>
          <w:rFonts w:cstheme="minorHAnsi"/>
        </w:rPr>
        <w:t xml:space="preserve"> data source</w:t>
      </w:r>
      <w:r>
        <w:rPr>
          <w:rFonts w:cstheme="minorHAnsi"/>
        </w:rPr>
        <w:t>s</w:t>
      </w:r>
      <w:r w:rsidRPr="0059551A">
        <w:rPr>
          <w:rFonts w:cstheme="minorHAnsi"/>
        </w:rPr>
        <w:t>:</w:t>
      </w:r>
    </w:p>
    <w:p w:rsidR="00E601FC" w:rsidP="007D5CC4" w:rsidRDefault="00D60FBE" w14:paraId="77DD87BB" w14:textId="039FF2DF">
      <w:pPr>
        <w:pStyle w:val="ListParagraph"/>
        <w:widowControl w:val="0"/>
        <w:numPr>
          <w:ilvl w:val="0"/>
          <w:numId w:val="4"/>
        </w:numPr>
        <w:tabs>
          <w:tab w:val="left" w:pos="2260"/>
        </w:tabs>
        <w:autoSpaceDE w:val="0"/>
        <w:autoSpaceDN w:val="0"/>
        <w:adjustRightInd w:val="0"/>
        <w:spacing w:before="13"/>
        <w:ind w:right="-20"/>
        <w:rPr>
          <w:rFonts w:eastAsia="MS PMincho" w:cstheme="minorHAnsi"/>
          <w:color w:val="000000"/>
        </w:rPr>
      </w:pPr>
      <w:r>
        <w:rPr>
          <w:rFonts w:cstheme="minorHAnsi"/>
          <w:color w:val="000000"/>
        </w:rPr>
        <w:t>CommVault</w:t>
      </w:r>
      <w:r>
        <w:rPr>
          <w:rFonts w:eastAsia="MS PMincho" w:cstheme="minorHAnsi"/>
          <w:color w:val="000000"/>
        </w:rPr>
        <w:t xml:space="preserve"> </w:t>
      </w:r>
      <w:r w:rsidR="00081A16">
        <w:rPr>
          <w:rFonts w:eastAsia="MS PMincho" w:cstheme="minorHAnsi"/>
          <w:color w:val="000000"/>
        </w:rPr>
        <w:t xml:space="preserve">MSSQL </w:t>
      </w:r>
      <w:r>
        <w:rPr>
          <w:rFonts w:eastAsia="MS PMincho" w:cstheme="minorHAnsi"/>
          <w:color w:val="000000"/>
        </w:rPr>
        <w:t>Database</w:t>
      </w:r>
    </w:p>
    <w:p w:rsidR="005944EB" w:rsidP="005944EB" w:rsidRDefault="005944EB" w14:paraId="7132166D" w14:textId="4D1D4B46" w14:noSpellErr="1">
      <w:pPr>
        <w:pStyle w:val="Heading1"/>
      </w:pPr>
      <w:bookmarkStart w:name="_Toc1518433532" w:id="1031475275"/>
      <w:r w:rsidR="005944EB">
        <w:rPr/>
        <w:t>Requirements</w:t>
      </w:r>
      <w:bookmarkEnd w:id="1031475275"/>
    </w:p>
    <w:p w:rsidR="00E601FC" w:rsidP="00544240" w:rsidRDefault="00544240" w14:paraId="71B6258F" w14:textId="77777777">
      <w:pPr>
        <w:widowControl w:val="0"/>
        <w:autoSpaceDE w:val="0"/>
        <w:autoSpaceDN w:val="0"/>
        <w:adjustRightInd w:val="0"/>
        <w:spacing w:before="19" w:line="243" w:lineRule="auto"/>
        <w:ind w:right="243"/>
        <w:rPr>
          <w:rFonts w:cstheme="minorHAnsi"/>
          <w:szCs w:val="22"/>
        </w:rPr>
      </w:pPr>
      <w:r w:rsidRPr="00544240">
        <w:rPr>
          <w:rFonts w:cstheme="minorHAnsi"/>
          <w:szCs w:val="22"/>
        </w:rPr>
        <w:t xml:space="preserve">The </w:t>
      </w:r>
      <w:r>
        <w:rPr>
          <w:rFonts w:cstheme="minorHAnsi"/>
          <w:szCs w:val="22"/>
        </w:rPr>
        <w:t>o</w:t>
      </w:r>
      <w:r w:rsidR="00E601FC">
        <w:rPr>
          <w:rFonts w:cstheme="minorHAnsi"/>
          <w:szCs w:val="22"/>
        </w:rPr>
        <w:t>nly requirements</w:t>
      </w:r>
      <w:r w:rsidRPr="00544240">
        <w:rPr>
          <w:rFonts w:cstheme="minorHAnsi"/>
          <w:szCs w:val="22"/>
        </w:rPr>
        <w:t xml:space="preserve"> </w:t>
      </w:r>
      <w:r>
        <w:rPr>
          <w:rFonts w:cstheme="minorHAnsi"/>
          <w:szCs w:val="22"/>
        </w:rPr>
        <w:t xml:space="preserve">for adding a CommVault Server to </w:t>
      </w:r>
      <w:r w:rsidR="002F25E8">
        <w:rPr>
          <w:rFonts w:cstheme="minorHAnsi"/>
          <w:color w:val="000000"/>
          <w:szCs w:val="22"/>
        </w:rPr>
        <w:t>Bocada</w:t>
      </w:r>
      <w:r w:rsidR="00E601FC">
        <w:rPr>
          <w:rFonts w:cstheme="minorHAnsi"/>
          <w:szCs w:val="22"/>
        </w:rPr>
        <w:t xml:space="preserve"> are:</w:t>
      </w:r>
      <w:r>
        <w:rPr>
          <w:rFonts w:cstheme="minorHAnsi"/>
          <w:szCs w:val="22"/>
        </w:rPr>
        <w:t xml:space="preserve"> </w:t>
      </w:r>
    </w:p>
    <w:p w:rsidR="00E601FC" w:rsidP="00E601FC" w:rsidRDefault="009A0D55" w14:paraId="2931BDA8" w14:textId="25414D4A">
      <w:pPr>
        <w:pStyle w:val="ListParagraph"/>
        <w:widowControl w:val="0"/>
        <w:numPr>
          <w:ilvl w:val="0"/>
          <w:numId w:val="4"/>
        </w:numPr>
        <w:autoSpaceDE w:val="0"/>
        <w:autoSpaceDN w:val="0"/>
        <w:adjustRightInd w:val="0"/>
        <w:spacing w:before="19" w:line="243" w:lineRule="auto"/>
        <w:ind w:right="243"/>
        <w:rPr>
          <w:rFonts w:cstheme="minorHAnsi"/>
          <w:szCs w:val="22"/>
        </w:rPr>
      </w:pPr>
      <w:r>
        <w:rPr>
          <w:rFonts w:cstheme="minorHAnsi"/>
          <w:szCs w:val="22"/>
        </w:rPr>
        <w:t>Read access cr</w:t>
      </w:r>
      <w:r w:rsidRPr="00E601FC" w:rsidR="00544240">
        <w:rPr>
          <w:rFonts w:cstheme="minorHAnsi"/>
          <w:szCs w:val="22"/>
        </w:rPr>
        <w:t>edentials t</w:t>
      </w:r>
      <w:r w:rsidRPr="00E601FC" w:rsidR="00F87E59">
        <w:rPr>
          <w:rFonts w:cstheme="minorHAnsi"/>
          <w:szCs w:val="22"/>
        </w:rPr>
        <w:t xml:space="preserve">o </w:t>
      </w:r>
      <w:r w:rsidR="00E601FC">
        <w:rPr>
          <w:rFonts w:cstheme="minorHAnsi"/>
          <w:szCs w:val="22"/>
        </w:rPr>
        <w:t>the Comm</w:t>
      </w:r>
      <w:r w:rsidR="00081A16">
        <w:rPr>
          <w:rFonts w:cstheme="minorHAnsi"/>
          <w:szCs w:val="22"/>
        </w:rPr>
        <w:t>Serve</w:t>
      </w:r>
      <w:r w:rsidR="00E601FC">
        <w:rPr>
          <w:rFonts w:cstheme="minorHAnsi"/>
          <w:szCs w:val="22"/>
        </w:rPr>
        <w:t xml:space="preserve"> database</w:t>
      </w:r>
    </w:p>
    <w:p w:rsidRPr="00E601FC" w:rsidR="00F306FA" w:rsidP="00E601FC" w:rsidRDefault="00E601FC" w14:paraId="1E03AEBB" w14:textId="0C07314E">
      <w:pPr>
        <w:pStyle w:val="ListParagraph"/>
        <w:widowControl w:val="0"/>
        <w:numPr>
          <w:ilvl w:val="0"/>
          <w:numId w:val="4"/>
        </w:numPr>
        <w:autoSpaceDE w:val="0"/>
        <w:autoSpaceDN w:val="0"/>
        <w:adjustRightInd w:val="0"/>
        <w:spacing w:before="19" w:line="243" w:lineRule="auto"/>
        <w:ind w:right="243"/>
        <w:rPr>
          <w:rFonts w:cstheme="minorHAnsi"/>
          <w:szCs w:val="22"/>
        </w:rPr>
      </w:pPr>
      <w:r>
        <w:rPr>
          <w:rFonts w:cstheme="minorHAnsi"/>
          <w:szCs w:val="22"/>
        </w:rPr>
        <w:t>N</w:t>
      </w:r>
      <w:r w:rsidRPr="00E601FC" w:rsidR="00F87E59">
        <w:rPr>
          <w:rFonts w:cstheme="minorHAnsi"/>
          <w:szCs w:val="22"/>
        </w:rPr>
        <w:t xml:space="preserve">etwork connectivity from the Bocada </w:t>
      </w:r>
      <w:r w:rsidRPr="00E601FC" w:rsidR="005E4398">
        <w:rPr>
          <w:rFonts w:cstheme="minorHAnsi"/>
          <w:szCs w:val="22"/>
        </w:rPr>
        <w:t xml:space="preserve">DCS to the CommVault SQL Server. </w:t>
      </w:r>
    </w:p>
    <w:p w:rsidR="00F306FA" w:rsidP="00F306FA" w:rsidRDefault="00F306FA" w14:paraId="21F80DBA" w14:textId="7EB1F811" w14:noSpellErr="1">
      <w:pPr>
        <w:pStyle w:val="Heading2"/>
      </w:pPr>
      <w:bookmarkStart w:name="_Toc463859471" w:id="13"/>
      <w:bookmarkStart w:name="_Toc1011625399" w:id="355341097"/>
      <w:r w:rsidR="00F306FA">
        <w:rPr/>
        <w:t>CommVault</w:t>
      </w:r>
      <w:bookmarkEnd w:id="13"/>
      <w:r w:rsidR="00F306FA">
        <w:rPr/>
        <w:t xml:space="preserve"> Ports:</w:t>
      </w:r>
      <w:r>
        <w:br/>
      </w:r>
      <w:bookmarkEnd w:id="355341097"/>
    </w:p>
    <w:tbl>
      <w:tblPr>
        <w:tblW w:w="9140" w:type="dxa"/>
        <w:tblInd w:w="-5" w:type="dxa"/>
        <w:tblLook w:val="04A0" w:firstRow="1" w:lastRow="0" w:firstColumn="1" w:lastColumn="0" w:noHBand="0" w:noVBand="1"/>
      </w:tblPr>
      <w:tblGrid>
        <w:gridCol w:w="2480"/>
        <w:gridCol w:w="2220"/>
        <w:gridCol w:w="4440"/>
      </w:tblGrid>
      <w:tr w:rsidRPr="00846B95" w:rsidR="00F306FA" w:rsidTr="00502FFE" w14:paraId="3CDA7AC0" w14:textId="77777777">
        <w:trPr>
          <w:trHeight w:val="300"/>
        </w:trPr>
        <w:tc>
          <w:tcPr>
            <w:tcW w:w="2480" w:type="dxa"/>
            <w:tcBorders>
              <w:top w:val="single" w:color="auto" w:sz="4" w:space="0"/>
              <w:left w:val="single" w:color="auto" w:sz="4" w:space="0"/>
              <w:bottom w:val="single" w:color="auto" w:sz="4" w:space="0"/>
              <w:right w:val="single" w:color="auto" w:sz="4" w:space="0"/>
            </w:tcBorders>
            <w:shd w:val="clear" w:color="000000" w:fill="9BC2E6"/>
            <w:vAlign w:val="center"/>
            <w:hideMark/>
          </w:tcPr>
          <w:p w:rsidRPr="00846B95" w:rsidR="00F306FA" w:rsidP="00502FFE" w:rsidRDefault="00F306FA" w14:paraId="443364C6" w14:textId="77777777">
            <w:pPr>
              <w:contextualSpacing w:val="0"/>
              <w:jc w:val="center"/>
              <w:rPr>
                <w:b/>
                <w:bCs/>
                <w:color w:val="000000"/>
              </w:rPr>
            </w:pPr>
            <w:r w:rsidRPr="00846B95">
              <w:rPr>
                <w:b/>
                <w:bCs/>
                <w:color w:val="000000"/>
              </w:rPr>
              <w:t>Service</w:t>
            </w:r>
          </w:p>
        </w:tc>
        <w:tc>
          <w:tcPr>
            <w:tcW w:w="2220" w:type="dxa"/>
            <w:tcBorders>
              <w:top w:val="single" w:color="auto" w:sz="4" w:space="0"/>
              <w:left w:val="nil"/>
              <w:bottom w:val="single" w:color="auto" w:sz="4" w:space="0"/>
              <w:right w:val="single" w:color="auto" w:sz="4" w:space="0"/>
            </w:tcBorders>
            <w:shd w:val="clear" w:color="000000" w:fill="9BC2E6"/>
            <w:vAlign w:val="center"/>
            <w:hideMark/>
          </w:tcPr>
          <w:p w:rsidRPr="00846B95" w:rsidR="00F306FA" w:rsidP="00502FFE" w:rsidRDefault="00F306FA" w14:paraId="02ADCF5C" w14:textId="77777777">
            <w:pPr>
              <w:contextualSpacing w:val="0"/>
              <w:jc w:val="center"/>
              <w:rPr>
                <w:b/>
                <w:bCs/>
                <w:color w:val="000000"/>
              </w:rPr>
            </w:pPr>
            <w:r w:rsidRPr="00846B95">
              <w:rPr>
                <w:b/>
                <w:bCs/>
                <w:color w:val="000000"/>
              </w:rPr>
              <w:t xml:space="preserve">Default Port </w:t>
            </w:r>
          </w:p>
        </w:tc>
        <w:tc>
          <w:tcPr>
            <w:tcW w:w="4440" w:type="dxa"/>
            <w:tcBorders>
              <w:top w:val="single" w:color="auto" w:sz="4" w:space="0"/>
              <w:left w:val="nil"/>
              <w:bottom w:val="single" w:color="auto" w:sz="4" w:space="0"/>
              <w:right w:val="single" w:color="auto" w:sz="4" w:space="0"/>
            </w:tcBorders>
            <w:shd w:val="clear" w:color="000000" w:fill="9BC2E6"/>
            <w:vAlign w:val="center"/>
            <w:hideMark/>
          </w:tcPr>
          <w:p w:rsidRPr="00846B95" w:rsidR="00F306FA" w:rsidP="00502FFE" w:rsidRDefault="00F306FA" w14:paraId="60F89E36" w14:textId="77777777">
            <w:pPr>
              <w:contextualSpacing w:val="0"/>
              <w:jc w:val="center"/>
              <w:rPr>
                <w:b/>
                <w:bCs/>
                <w:color w:val="000000"/>
              </w:rPr>
            </w:pPr>
            <w:r w:rsidRPr="00846B95">
              <w:rPr>
                <w:b/>
                <w:bCs/>
                <w:color w:val="000000"/>
              </w:rPr>
              <w:t>Note</w:t>
            </w:r>
          </w:p>
        </w:tc>
      </w:tr>
      <w:tr w:rsidRPr="00846B95" w:rsidR="00F306FA" w:rsidTr="00502FFE" w14:paraId="6F563543" w14:textId="77777777">
        <w:trPr>
          <w:cantSplit/>
          <w:trHeight w:val="300"/>
        </w:trPr>
        <w:tc>
          <w:tcPr>
            <w:tcW w:w="2480" w:type="dxa"/>
            <w:tcBorders>
              <w:top w:val="nil"/>
              <w:left w:val="single" w:color="auto" w:sz="4" w:space="0"/>
              <w:bottom w:val="single" w:color="auto" w:sz="4" w:space="0"/>
              <w:right w:val="single" w:color="auto" w:sz="4" w:space="0"/>
            </w:tcBorders>
            <w:shd w:val="clear" w:color="auto" w:fill="auto"/>
            <w:vAlign w:val="center"/>
            <w:hideMark/>
          </w:tcPr>
          <w:p w:rsidRPr="00846B95" w:rsidR="00F306FA" w:rsidP="00502FFE" w:rsidRDefault="00F306FA" w14:paraId="24A3EF45" w14:textId="77777777">
            <w:pPr>
              <w:contextualSpacing w:val="0"/>
              <w:jc w:val="center"/>
              <w:rPr>
                <w:i/>
                <w:iCs/>
              </w:rPr>
            </w:pPr>
            <w:r w:rsidRPr="00846B95">
              <w:rPr>
                <w:i/>
                <w:iCs/>
              </w:rPr>
              <w:t>SQL Server</w:t>
            </w:r>
          </w:p>
        </w:tc>
        <w:tc>
          <w:tcPr>
            <w:tcW w:w="2220" w:type="dxa"/>
            <w:tcBorders>
              <w:top w:val="nil"/>
              <w:left w:val="nil"/>
              <w:bottom w:val="single" w:color="auto" w:sz="4" w:space="0"/>
              <w:right w:val="single" w:color="auto" w:sz="4" w:space="0"/>
            </w:tcBorders>
            <w:shd w:val="clear" w:color="auto" w:fill="auto"/>
            <w:vAlign w:val="center"/>
            <w:hideMark/>
          </w:tcPr>
          <w:p w:rsidRPr="00846B95" w:rsidR="00F306FA" w:rsidP="00502FFE" w:rsidRDefault="00F306FA" w14:paraId="401EE389" w14:textId="77777777">
            <w:pPr>
              <w:contextualSpacing w:val="0"/>
              <w:jc w:val="center"/>
              <w:rPr>
                <w:color w:val="000000"/>
              </w:rPr>
            </w:pPr>
            <w:r w:rsidRPr="00846B95">
              <w:rPr>
                <w:color w:val="000000"/>
              </w:rPr>
              <w:t>14</w:t>
            </w:r>
            <w:r>
              <w:rPr>
                <w:color w:val="000000"/>
              </w:rPr>
              <w:t>3</w:t>
            </w:r>
            <w:r w:rsidRPr="00846B95">
              <w:rPr>
                <w:color w:val="000000"/>
              </w:rPr>
              <w:t>3/TCP</w:t>
            </w:r>
          </w:p>
        </w:tc>
        <w:tc>
          <w:tcPr>
            <w:tcW w:w="4440" w:type="dxa"/>
            <w:tcBorders>
              <w:top w:val="nil"/>
              <w:left w:val="nil"/>
              <w:bottom w:val="single" w:color="auto" w:sz="4" w:space="0"/>
              <w:right w:val="single" w:color="auto" w:sz="4" w:space="0"/>
            </w:tcBorders>
            <w:shd w:val="clear" w:color="auto" w:fill="auto"/>
            <w:vAlign w:val="center"/>
            <w:hideMark/>
          </w:tcPr>
          <w:p w:rsidRPr="00846B95" w:rsidR="00F306FA" w:rsidP="00502FFE" w:rsidRDefault="00F306FA" w14:paraId="7C0BE4D2" w14:textId="77777777">
            <w:pPr>
              <w:contextualSpacing w:val="0"/>
              <w:jc w:val="center"/>
              <w:rPr>
                <w:color w:val="000000"/>
              </w:rPr>
            </w:pPr>
            <w:r w:rsidRPr="00846B95">
              <w:rPr>
                <w:color w:val="000000"/>
              </w:rPr>
              <w:t>-</w:t>
            </w:r>
          </w:p>
        </w:tc>
      </w:tr>
      <w:tr w:rsidRPr="00846B95" w:rsidR="00F306FA" w:rsidTr="00502FFE" w14:paraId="481D6145" w14:textId="77777777">
        <w:trPr>
          <w:cantSplit/>
          <w:trHeight w:val="30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846B95" w:rsidR="00F306FA" w:rsidP="00502FFE" w:rsidRDefault="00F306FA" w14:paraId="5946379C" w14:textId="77777777">
            <w:pPr>
              <w:contextualSpacing w:val="0"/>
              <w:jc w:val="center"/>
              <w:rPr>
                <w:i/>
                <w:iCs/>
              </w:rPr>
            </w:pPr>
            <w:r w:rsidRPr="00846B95">
              <w:rPr>
                <w:i/>
                <w:iCs/>
              </w:rPr>
              <w:t>SQL Server browser</w:t>
            </w:r>
          </w:p>
        </w:tc>
        <w:tc>
          <w:tcPr>
            <w:tcW w:w="2220" w:type="dxa"/>
            <w:tcBorders>
              <w:top w:val="nil"/>
              <w:left w:val="nil"/>
              <w:bottom w:val="single" w:color="auto" w:sz="4" w:space="0"/>
              <w:right w:val="single" w:color="auto" w:sz="4" w:space="0"/>
            </w:tcBorders>
            <w:shd w:val="clear" w:color="auto" w:fill="auto"/>
            <w:vAlign w:val="center"/>
            <w:hideMark/>
          </w:tcPr>
          <w:p w:rsidRPr="00846B95" w:rsidR="00F306FA" w:rsidP="00502FFE" w:rsidRDefault="00F306FA" w14:paraId="75D047A4" w14:textId="77777777">
            <w:pPr>
              <w:contextualSpacing w:val="0"/>
              <w:jc w:val="center"/>
              <w:rPr>
                <w:color w:val="000000"/>
              </w:rPr>
            </w:pPr>
            <w:r w:rsidRPr="00846B95">
              <w:rPr>
                <w:color w:val="000000"/>
              </w:rPr>
              <w:t>1434/UDP</w:t>
            </w:r>
          </w:p>
        </w:tc>
        <w:tc>
          <w:tcPr>
            <w:tcW w:w="4440" w:type="dxa"/>
            <w:tcBorders>
              <w:top w:val="nil"/>
              <w:left w:val="nil"/>
              <w:bottom w:val="single" w:color="auto" w:sz="4" w:space="0"/>
              <w:right w:val="single" w:color="auto" w:sz="4" w:space="0"/>
            </w:tcBorders>
            <w:shd w:val="clear" w:color="auto" w:fill="auto"/>
            <w:noWrap/>
            <w:vAlign w:val="bottom"/>
            <w:hideMark/>
          </w:tcPr>
          <w:p w:rsidRPr="00846B95" w:rsidR="00F306FA" w:rsidP="00502FFE" w:rsidRDefault="00F306FA" w14:paraId="525954F7" w14:textId="77777777">
            <w:pPr>
              <w:contextualSpacing w:val="0"/>
              <w:jc w:val="center"/>
              <w:rPr>
                <w:color w:val="000000"/>
              </w:rPr>
            </w:pPr>
            <w:r w:rsidRPr="00846B95">
              <w:rPr>
                <w:color w:val="000000"/>
              </w:rPr>
              <w:t>Not required when default SQL port specified</w:t>
            </w:r>
          </w:p>
        </w:tc>
      </w:tr>
    </w:tbl>
    <w:p w:rsidR="0038385F" w:rsidP="00211766" w:rsidRDefault="005E4398" w14:paraId="3A302292" w14:textId="30999ADB">
      <w:pPr>
        <w:widowControl w:val="0"/>
        <w:autoSpaceDE w:val="0"/>
        <w:autoSpaceDN w:val="0"/>
        <w:adjustRightInd w:val="0"/>
        <w:spacing w:before="19" w:line="243" w:lineRule="auto"/>
        <w:ind w:right="243"/>
        <w:rPr>
          <w:rFonts w:cstheme="minorHAnsi"/>
          <w:szCs w:val="22"/>
        </w:rPr>
      </w:pPr>
      <w:r>
        <w:rPr>
          <w:rFonts w:cstheme="minorHAnsi"/>
          <w:szCs w:val="22"/>
        </w:rPr>
        <w:t>B</w:t>
      </w:r>
      <w:r w:rsidR="006239E2">
        <w:rPr>
          <w:rFonts w:cstheme="minorHAnsi"/>
          <w:szCs w:val="22"/>
        </w:rPr>
        <w:t>y default, the TCP port</w:t>
      </w:r>
      <w:r>
        <w:rPr>
          <w:rFonts w:cstheme="minorHAnsi"/>
          <w:szCs w:val="22"/>
        </w:rPr>
        <w:t xml:space="preserve"> for a CommVault server is 1433, and the CommVault SQL Server instance is usually named ‘CommVault’. To ensure connectivity with the SQL Server, this instance should be configured to listen on a static port.</w:t>
      </w:r>
    </w:p>
    <w:p w:rsidR="0038385F" w:rsidRDefault="0038385F" w14:paraId="0FD68234" w14:textId="77777777">
      <w:pPr>
        <w:spacing w:after="200"/>
        <w:contextualSpacing w:val="0"/>
        <w:rPr>
          <w:rFonts w:cstheme="minorHAnsi"/>
          <w:szCs w:val="22"/>
        </w:rPr>
      </w:pPr>
      <w:r>
        <w:rPr>
          <w:rFonts w:cstheme="minorHAnsi"/>
          <w:szCs w:val="22"/>
        </w:rPr>
        <w:br w:type="page"/>
      </w:r>
    </w:p>
    <w:p w:rsidR="000364E0" w:rsidP="000364E0" w:rsidRDefault="000364E0" w14:paraId="4A4D2112" w14:textId="4D330ABF" w14:noSpellErr="1">
      <w:pPr>
        <w:pStyle w:val="Heading1"/>
      </w:pPr>
      <w:bookmarkStart w:name="_Toc925038141" w:id="97124176"/>
      <w:r w:rsidR="000364E0">
        <w:rPr/>
        <w:t>Setup</w:t>
      </w:r>
      <w:bookmarkEnd w:id="97124176"/>
    </w:p>
    <w:p w:rsidRPr="00F65AA0" w:rsidR="000364E0" w:rsidP="003320A1" w:rsidRDefault="000364E0" w14:paraId="249AA9BE" w14:textId="77777777" w14:noSpellErr="1">
      <w:pPr>
        <w:pStyle w:val="Heading2"/>
      </w:pPr>
      <w:bookmarkStart w:name="_Toc352859759" w:id="16"/>
      <w:bookmarkStart w:name="_Toc366510043" w:id="17"/>
      <w:bookmarkStart w:name="_Toc408189270" w:id="611119476"/>
      <w:r w:rsidR="000364E0">
        <w:rPr/>
        <w:t>Server Properties</w:t>
      </w:r>
      <w:bookmarkEnd w:id="16"/>
      <w:bookmarkEnd w:id="17"/>
      <w:bookmarkEnd w:id="611119476"/>
    </w:p>
    <w:p w:rsidR="005944EB" w:rsidP="005944EB" w:rsidRDefault="00211766" w14:paraId="7A452944" w14:textId="05D193B7">
      <w:pPr>
        <w:spacing w:after="200"/>
        <w:rPr>
          <w:rFonts w:cstheme="minorHAnsi"/>
          <w:szCs w:val="22"/>
        </w:rPr>
      </w:pPr>
      <w:r w:rsidRPr="00211766">
        <w:rPr>
          <w:rFonts w:eastAsia="MS PGothic" w:cstheme="minorHAnsi"/>
          <w:color w:val="000000"/>
          <w:szCs w:val="22"/>
        </w:rPr>
        <w:t xml:space="preserve">Backup Server Properties determine how the plugin will interface with the </w:t>
      </w:r>
      <w:r>
        <w:rPr>
          <w:rFonts w:eastAsia="MS PGothic" w:cstheme="minorHAnsi"/>
          <w:color w:val="000000"/>
          <w:szCs w:val="22"/>
        </w:rPr>
        <w:t xml:space="preserve">Commvault server </w:t>
      </w:r>
      <w:r w:rsidRPr="00211766">
        <w:rPr>
          <w:rFonts w:eastAsia="MS PGothic" w:cstheme="minorHAnsi"/>
          <w:color w:val="000000"/>
          <w:szCs w:val="22"/>
        </w:rPr>
        <w:t>and are managed through the Backup Servers view.</w:t>
      </w:r>
    </w:p>
    <w:p w:rsidR="000364E0" w:rsidP="00D60FBE" w:rsidRDefault="00BA267F" w14:paraId="73C282EA" w14:textId="21708564">
      <w:pPr>
        <w:spacing w:after="200"/>
        <w:jc w:val="center"/>
        <w:rPr>
          <w:rFonts w:cstheme="minorHAnsi"/>
          <w:szCs w:val="22"/>
        </w:rPr>
      </w:pPr>
      <w:r>
        <w:rPr>
          <w:noProof/>
        </w:rPr>
        <w:drawing>
          <wp:inline distT="0" distB="0" distL="0" distR="0" wp14:anchorId="74BA182E" wp14:editId="236426EF">
            <wp:extent cx="5229225" cy="3305175"/>
            <wp:effectExtent l="133350" t="114300" r="14287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3305175"/>
                    </a:xfrm>
                    <a:prstGeom prst="rect">
                      <a:avLst/>
                    </a:prstGeom>
                    <a:effectLst>
                      <a:outerShdw blurRad="63500" sx="102000" sy="102000" algn="ctr" rotWithShape="0">
                        <a:prstClr val="black">
                          <a:alpha val="40000"/>
                        </a:prstClr>
                      </a:outerShdw>
                    </a:effectLst>
                  </pic:spPr>
                </pic:pic>
              </a:graphicData>
            </a:graphic>
          </wp:inline>
        </w:drawing>
      </w:r>
    </w:p>
    <w:p w:rsidRPr="00440FD0" w:rsidR="00AF2661" w:rsidP="003320A1" w:rsidRDefault="00AF2661" w14:paraId="0170C9D6" w14:textId="77777777" w14:noSpellErr="1">
      <w:pPr>
        <w:pStyle w:val="Heading2"/>
      </w:pPr>
      <w:bookmarkStart w:name="_Toc366585565" w:id="19"/>
      <w:bookmarkStart w:name="_Toc851711006" w:id="1348311694"/>
      <w:r w:rsidR="00AF2661">
        <w:rPr/>
        <w:t>Field Definitions</w:t>
      </w:r>
      <w:bookmarkEnd w:id="19"/>
      <w:bookmarkEnd w:id="1348311694"/>
    </w:p>
    <w:p w:rsidR="00544240" w:rsidP="00544240" w:rsidRDefault="00544240" w14:paraId="78AF84DD" w14:textId="17F7508F">
      <w:pPr>
        <w:pStyle w:val="Heading4"/>
      </w:pPr>
      <w:r>
        <w:t xml:space="preserve">SQL Server </w:t>
      </w:r>
      <w:r w:rsidR="009A0D55">
        <w:t>Name</w:t>
      </w:r>
    </w:p>
    <w:p w:rsidR="0048430B" w:rsidP="00EA62C3" w:rsidRDefault="00544240" w14:paraId="6B2B380E" w14:textId="62C90773">
      <w:pPr>
        <w:rPr>
          <w:rFonts w:cstheme="minorHAnsi"/>
          <w:szCs w:val="22"/>
        </w:rPr>
      </w:pPr>
      <w:r w:rsidRPr="005757C6">
        <w:rPr>
          <w:rFonts w:cstheme="minorHAnsi"/>
          <w:szCs w:val="22"/>
        </w:rPr>
        <w:t xml:space="preserve">Enter </w:t>
      </w:r>
      <w:r>
        <w:rPr>
          <w:rFonts w:cstheme="minorHAnsi"/>
          <w:szCs w:val="22"/>
        </w:rPr>
        <w:t xml:space="preserve">the </w:t>
      </w:r>
      <w:r w:rsidRPr="005757C6">
        <w:rPr>
          <w:rFonts w:cstheme="minorHAnsi"/>
          <w:szCs w:val="22"/>
        </w:rPr>
        <w:t xml:space="preserve">SQL </w:t>
      </w:r>
      <w:r>
        <w:rPr>
          <w:rFonts w:cstheme="minorHAnsi"/>
          <w:szCs w:val="22"/>
        </w:rPr>
        <w:t>S</w:t>
      </w:r>
      <w:r w:rsidRPr="005757C6">
        <w:rPr>
          <w:rFonts w:cstheme="minorHAnsi"/>
          <w:szCs w:val="22"/>
        </w:rPr>
        <w:t>erver</w:t>
      </w:r>
      <w:r>
        <w:rPr>
          <w:rFonts w:cstheme="minorHAnsi"/>
          <w:szCs w:val="22"/>
        </w:rPr>
        <w:t xml:space="preserve"> </w:t>
      </w:r>
      <w:r w:rsidR="0048430B">
        <w:rPr>
          <w:rFonts w:cstheme="minorHAnsi"/>
          <w:szCs w:val="22"/>
        </w:rPr>
        <w:t>n</w:t>
      </w:r>
      <w:r>
        <w:rPr>
          <w:rFonts w:cstheme="minorHAnsi"/>
          <w:szCs w:val="22"/>
        </w:rPr>
        <w:t>ame</w:t>
      </w:r>
      <w:r w:rsidR="0048430B">
        <w:rPr>
          <w:rFonts w:cstheme="minorHAnsi"/>
          <w:szCs w:val="22"/>
        </w:rPr>
        <w:t xml:space="preserve"> if the SQL resides on a dedicated SQL Server or cluster separate </w:t>
      </w:r>
      <w:r w:rsidR="00F4302D">
        <w:rPr>
          <w:rFonts w:cstheme="minorHAnsi"/>
          <w:szCs w:val="22"/>
        </w:rPr>
        <w:t>from</w:t>
      </w:r>
      <w:r w:rsidR="0048430B">
        <w:rPr>
          <w:rFonts w:cstheme="minorHAnsi"/>
          <w:szCs w:val="22"/>
        </w:rPr>
        <w:t xml:space="preserve"> the Commvault server</w:t>
      </w:r>
      <w:r w:rsidR="009A3AB2">
        <w:rPr>
          <w:rFonts w:cstheme="minorHAnsi"/>
          <w:szCs w:val="22"/>
        </w:rPr>
        <w:t>.</w:t>
      </w:r>
      <w:r w:rsidR="00F4302D">
        <w:rPr>
          <w:rFonts w:cstheme="minorHAnsi"/>
          <w:szCs w:val="22"/>
        </w:rPr>
        <w:t xml:space="preserve"> </w:t>
      </w:r>
      <w:r w:rsidR="0038385F">
        <w:rPr>
          <w:rFonts w:cstheme="minorHAnsi"/>
          <w:szCs w:val="22"/>
        </w:rPr>
        <w:t xml:space="preserve">If not using the default </w:t>
      </w:r>
      <w:r w:rsidR="008934F9">
        <w:rPr>
          <w:rFonts w:cstheme="minorHAnsi"/>
          <w:szCs w:val="22"/>
        </w:rPr>
        <w:t xml:space="preserve">SQL port </w:t>
      </w:r>
      <w:r w:rsidR="0038385F">
        <w:rPr>
          <w:rFonts w:cstheme="minorHAnsi"/>
          <w:szCs w:val="22"/>
        </w:rPr>
        <w:t>(1433), enter &lt;</w:t>
      </w:r>
      <w:proofErr w:type="spellStart"/>
      <w:r w:rsidRPr="002907BD" w:rsidR="0038385F">
        <w:rPr>
          <w:rFonts w:cstheme="minorHAnsi"/>
          <w:i/>
          <w:iCs/>
          <w:szCs w:val="22"/>
        </w:rPr>
        <w:t>ServerName</w:t>
      </w:r>
      <w:proofErr w:type="spellEnd"/>
      <w:r w:rsidR="0038385F">
        <w:rPr>
          <w:rFonts w:cstheme="minorHAnsi"/>
          <w:szCs w:val="22"/>
        </w:rPr>
        <w:t>&gt;,&lt;</w:t>
      </w:r>
      <w:r w:rsidRPr="002907BD" w:rsidR="0038385F">
        <w:rPr>
          <w:rFonts w:cstheme="minorHAnsi"/>
          <w:i/>
          <w:iCs/>
          <w:szCs w:val="22"/>
        </w:rPr>
        <w:t>Port</w:t>
      </w:r>
      <w:r w:rsidR="0038385F">
        <w:rPr>
          <w:rFonts w:cstheme="minorHAnsi"/>
          <w:szCs w:val="22"/>
        </w:rPr>
        <w:t>&gt; for the SQL Server Name.</w:t>
      </w:r>
    </w:p>
    <w:p w:rsidR="0048430B" w:rsidP="00106BBB" w:rsidRDefault="0048430B" w14:paraId="000BB9FC" w14:textId="77777777">
      <w:pPr>
        <w:pStyle w:val="Heading4"/>
      </w:pPr>
      <w:r>
        <w:t>SQL Instance</w:t>
      </w:r>
    </w:p>
    <w:p w:rsidR="00AF2661" w:rsidP="00EA62C3" w:rsidRDefault="0048430B" w14:paraId="2287CD5C" w14:textId="76E5B89B">
      <w:pPr>
        <w:rPr>
          <w:rFonts w:cstheme="minorHAnsi"/>
          <w:szCs w:val="22"/>
        </w:rPr>
      </w:pPr>
      <w:r>
        <w:rPr>
          <w:rFonts w:cstheme="minorHAnsi"/>
          <w:szCs w:val="22"/>
        </w:rPr>
        <w:t>Enter the SQL Server Instance name</w:t>
      </w:r>
      <w:r w:rsidR="00EA62C3">
        <w:rPr>
          <w:rFonts w:cstheme="minorHAnsi"/>
          <w:szCs w:val="22"/>
        </w:rPr>
        <w:t xml:space="preserve"> </w:t>
      </w:r>
      <w:r w:rsidR="00106BBB">
        <w:rPr>
          <w:rFonts w:cstheme="minorHAnsi"/>
          <w:szCs w:val="22"/>
        </w:rPr>
        <w:t>where the CommServe database resides within the SQL server described above.</w:t>
      </w:r>
    </w:p>
    <w:p w:rsidR="00106BBB" w:rsidP="00E80BCE" w:rsidRDefault="00E80BCE" w14:paraId="65E81907" w14:textId="2986CDD1">
      <w:pPr>
        <w:pStyle w:val="Heading4"/>
      </w:pPr>
      <w:r>
        <w:t>SQL Database</w:t>
      </w:r>
    </w:p>
    <w:p w:rsidR="00E80BCE" w:rsidP="00EA62C3" w:rsidRDefault="002B3815" w14:paraId="339294BB" w14:textId="27EAC307">
      <w:pPr>
        <w:rPr>
          <w:rFonts w:cstheme="minorHAnsi"/>
          <w:szCs w:val="22"/>
        </w:rPr>
      </w:pPr>
      <w:r>
        <w:rPr>
          <w:rFonts w:cstheme="minorHAnsi"/>
          <w:szCs w:val="22"/>
        </w:rPr>
        <w:t>Commvault installs the da</w:t>
      </w:r>
      <w:r w:rsidR="005C68D0">
        <w:rPr>
          <w:rFonts w:cstheme="minorHAnsi"/>
          <w:szCs w:val="22"/>
        </w:rPr>
        <w:t>ta</w:t>
      </w:r>
      <w:r>
        <w:rPr>
          <w:rFonts w:cstheme="minorHAnsi"/>
          <w:szCs w:val="22"/>
        </w:rPr>
        <w:t>base as “</w:t>
      </w:r>
      <w:r w:rsidR="00E80BCE">
        <w:rPr>
          <w:rFonts w:cstheme="minorHAnsi"/>
          <w:szCs w:val="22"/>
        </w:rPr>
        <w:t>CommServe</w:t>
      </w:r>
      <w:r>
        <w:rPr>
          <w:rFonts w:cstheme="minorHAnsi"/>
          <w:szCs w:val="22"/>
        </w:rPr>
        <w:t>” by default</w:t>
      </w:r>
      <w:r w:rsidR="005C68D0">
        <w:rPr>
          <w:rFonts w:cstheme="minorHAnsi"/>
          <w:szCs w:val="22"/>
        </w:rPr>
        <w:t>; specify if different.</w:t>
      </w:r>
    </w:p>
    <w:p w:rsidR="0037770B" w:rsidP="0037770B" w:rsidRDefault="0037770B" w14:paraId="74489EF5" w14:textId="4650B31D">
      <w:pPr>
        <w:pStyle w:val="Heading4"/>
      </w:pPr>
      <w:r>
        <w:t>Database Authentication</w:t>
      </w:r>
    </w:p>
    <w:p w:rsidR="0037770B" w:rsidP="00EA62C3" w:rsidRDefault="0037770B" w14:paraId="2889B77B" w14:textId="153F52C4">
      <w:pPr>
        <w:rPr>
          <w:rFonts w:cstheme="minorHAnsi"/>
          <w:szCs w:val="22"/>
        </w:rPr>
      </w:pPr>
      <w:r>
        <w:rPr>
          <w:rFonts w:cstheme="minorHAnsi"/>
          <w:szCs w:val="22"/>
        </w:rPr>
        <w:t xml:space="preserve">Specify the authentication type for the </w:t>
      </w:r>
      <w:r w:rsidR="00B01F28">
        <w:rPr>
          <w:rFonts w:cstheme="minorHAnsi"/>
          <w:szCs w:val="22"/>
        </w:rPr>
        <w:t xml:space="preserve">user added to the SQL instance with </w:t>
      </w:r>
      <w:proofErr w:type="spellStart"/>
      <w:r w:rsidR="00B01F28">
        <w:rPr>
          <w:rFonts w:cstheme="minorHAnsi"/>
          <w:szCs w:val="22"/>
        </w:rPr>
        <w:t>db_reader</w:t>
      </w:r>
      <w:proofErr w:type="spellEnd"/>
      <w:r w:rsidR="00B01F28">
        <w:rPr>
          <w:rFonts w:cstheme="minorHAnsi"/>
          <w:szCs w:val="22"/>
        </w:rPr>
        <w:t xml:space="preserve"> access to the Commvault database, SQL or Windows Authentication.</w:t>
      </w:r>
    </w:p>
    <w:p w:rsidR="00B01F28" w:rsidP="00196F0C" w:rsidRDefault="00196F0C" w14:paraId="501F7696" w14:textId="54D4EB47">
      <w:pPr>
        <w:pStyle w:val="Heading4"/>
      </w:pPr>
      <w:proofErr w:type="gramStart"/>
      <w:r>
        <w:t>User Name</w:t>
      </w:r>
      <w:proofErr w:type="gramEnd"/>
      <w:r>
        <w:t xml:space="preserve"> &amp; Password</w:t>
      </w:r>
    </w:p>
    <w:p w:rsidRPr="00196F0C" w:rsidR="005D7EA7" w:rsidP="00196F0C" w:rsidRDefault="00196F0C" w14:paraId="28601CF8" w14:textId="595CCC1D">
      <w:r>
        <w:t xml:space="preserve">Enter the credentials for the SQL or Windows auth user </w:t>
      </w:r>
      <w:r w:rsidR="005D7EA7">
        <w:t>with read-access to the Commvault database.</w:t>
      </w:r>
    </w:p>
    <w:p w:rsidRPr="00734393" w:rsidR="00505EB5" w:rsidP="00505EB5" w:rsidRDefault="00505EB5" w14:paraId="41984D02" w14:textId="77777777">
      <w:pPr>
        <w:pStyle w:val="Heading4"/>
        <w:rPr>
          <w:rFonts w:eastAsia="MS Mincho"/>
        </w:rPr>
      </w:pPr>
      <w:r w:rsidRPr="00734393">
        <w:rPr>
          <w:rFonts w:eastAsia="MS Mincho"/>
        </w:rPr>
        <w:t>Time Zone</w:t>
      </w:r>
    </w:p>
    <w:p w:rsidR="004F6334" w:rsidP="00BA267F" w:rsidRDefault="00505EB5" w14:paraId="19E2955C" w14:textId="255C0F11">
      <w:pPr>
        <w:widowControl w:val="0"/>
        <w:autoSpaceDE w:val="0"/>
        <w:autoSpaceDN w:val="0"/>
        <w:adjustRightInd w:val="0"/>
        <w:ind w:right="-20"/>
        <w:rPr>
          <w:rFonts w:asciiTheme="majorHAnsi" w:hAnsiTheme="majorHAnsi" w:eastAsiaTheme="majorEastAsia" w:cstheme="majorBidi"/>
          <w:b/>
          <w:bCs/>
          <w:color w:val="365F91" w:themeColor="accent1" w:themeShade="BF"/>
          <w:sz w:val="28"/>
          <w:szCs w:val="28"/>
        </w:rPr>
      </w:pPr>
      <w:r w:rsidRPr="0D6457A9" w:rsidR="00505EB5">
        <w:rPr>
          <w:rFonts w:cs="Calibri" w:cstheme="minorAscii"/>
        </w:rPr>
        <w:t xml:space="preserve">Select the time zone where </w:t>
      </w:r>
      <w:r w:rsidRPr="0D6457A9" w:rsidR="0059551A">
        <w:rPr>
          <w:rFonts w:cs="Calibri" w:cstheme="minorAscii"/>
        </w:rPr>
        <w:t>CommVault</w:t>
      </w:r>
      <w:r w:rsidRPr="0D6457A9" w:rsidR="00505EB5">
        <w:rPr>
          <w:rFonts w:cs="Calibri" w:cstheme="minorAscii"/>
        </w:rPr>
        <w:t xml:space="preserve"> </w:t>
      </w:r>
      <w:r w:rsidRPr="0D6457A9" w:rsidR="00505EB5">
        <w:rPr>
          <w:rFonts w:cs="Calibri" w:cstheme="minorAscii"/>
        </w:rPr>
        <w:t>server resides.</w:t>
      </w:r>
      <w:bookmarkStart w:name="_Toc413650177" w:id="21"/>
      <w:bookmarkStart w:name="_Toc413414214" w:id="22"/>
      <w:bookmarkStart w:name="_Toc366501544" w:id="23"/>
      <w:r>
        <w:br w:type="page"/>
      </w:r>
      <w:bookmarkEnd w:id="21"/>
      <w:bookmarkEnd w:id="22"/>
      <w:bookmarkEnd w:id="23"/>
    </w:p>
    <w:p w:rsidR="004F6334" w:rsidP="0D6457A9" w:rsidRDefault="004F6334" w14:paraId="23BB21BB" w14:textId="0100A17C">
      <w:pPr>
        <w:pStyle w:val="Heading1"/>
        <w:bidi w:val="0"/>
        <w:spacing w:before="480" w:beforeAutospacing="off" w:after="0" w:afterAutospacing="off" w:line="259" w:lineRule="auto"/>
        <w:ind w:left="0" w:right="0"/>
        <w:jc w:val="left"/>
      </w:pPr>
      <w:bookmarkStart w:name="_Toc2143701050" w:id="318649979"/>
      <w:r w:rsidR="18F411DD">
        <w:rPr/>
        <w:t>Reporting Notes</w:t>
      </w:r>
      <w:bookmarkEnd w:id="318649979"/>
    </w:p>
    <w:p w:rsidR="004F6334" w:rsidP="0D6457A9" w:rsidRDefault="004F6334" w14:paraId="1E11C257" w14:textId="2A1A5687">
      <w:pPr>
        <w:pStyle w:val="Heading2"/>
        <w:bidi w:val="0"/>
        <w:spacing w:before="200" w:beforeAutospacing="off" w:after="0" w:afterAutospacing="off" w:line="259" w:lineRule="auto"/>
        <w:ind w:left="0" w:right="0"/>
        <w:jc w:val="left"/>
      </w:pPr>
      <w:bookmarkStart w:name="_Toc233487554" w:id="58800442"/>
      <w:r w:rsidR="18F411DD">
        <w:rPr/>
        <w:t xml:space="preserve">No Reporting Notes available </w:t>
      </w:r>
      <w:proofErr w:type="gramStart"/>
      <w:r w:rsidR="18F411DD">
        <w:rPr/>
        <w:t>at this time</w:t>
      </w:r>
      <w:proofErr w:type="gramEnd"/>
      <w:r w:rsidR="18F411DD">
        <w:rPr/>
        <w:t>.</w:t>
      </w:r>
      <w:bookmarkEnd w:id="58800442"/>
    </w:p>
    <w:p w:rsidR="004F6334" w:rsidP="0D6457A9" w:rsidRDefault="004F6334" w14:paraId="57CA5856" w14:textId="4E1E7831">
      <w:pPr>
        <w:pStyle w:val="Normal"/>
        <w:bidi w:val="0"/>
        <w:spacing w:before="0" w:beforeAutospacing="off" w:after="0" w:afterAutospacing="off" w:line="259" w:lineRule="auto"/>
        <w:ind w:left="0" w:right="0"/>
        <w:jc w:val="left"/>
      </w:pPr>
      <w:r w:rsidRPr="0D6457A9" w:rsidR="18F411DD">
        <w:rPr>
          <w:rFonts w:eastAsia="" w:eastAsiaTheme="majorEastAsia"/>
        </w:rPr>
        <w:t>See Mapping Appendix below.</w:t>
      </w:r>
    </w:p>
    <w:p w:rsidR="004F6334" w:rsidP="004F6334" w:rsidRDefault="004F6334" w14:paraId="2488B654" w14:textId="46DE0C0D">
      <w:pPr>
        <w:pStyle w:val="Heading1"/>
      </w:pPr>
      <w:bookmarkStart w:name="_Toc1203920531" w:id="267438232"/>
      <w:r w:rsidR="004F6334">
        <w:rPr/>
        <w:t>Appendix A: Troubleshooting</w:t>
      </w:r>
      <w:r w:rsidR="004F6334">
        <w:rPr/>
        <w:t xml:space="preserve"> </w:t>
      </w:r>
      <w:bookmarkEnd w:id="267438232"/>
    </w:p>
    <w:p w:rsidR="00583626" w:rsidP="00583626" w:rsidRDefault="00583626" w14:paraId="2767520E" w14:textId="5F651BD3" w14:noSpellErr="1">
      <w:pPr>
        <w:pStyle w:val="Heading2"/>
      </w:pPr>
      <w:bookmarkStart w:name="_Toc904347132" w:id="1820972973"/>
      <w:r w:rsidR="00583626">
        <w:rPr/>
        <w:t>Debug Logging</w:t>
      </w:r>
      <w:bookmarkEnd w:id="1820972973"/>
    </w:p>
    <w:p w:rsidR="00583626" w:rsidP="00583626" w:rsidRDefault="00583626" w14:paraId="48334A4A" w14:textId="77777777">
      <w:pPr>
        <w:rPr>
          <w:rFonts w:eastAsiaTheme="majorEastAsia"/>
        </w:rPr>
      </w:pPr>
      <w:r>
        <w:rPr>
          <w:rFonts w:eastAsiaTheme="majorEastAsia"/>
        </w:rPr>
        <w:t xml:space="preserve">In the event that your Data Collection Server is not collecting jobs from a CommVault server, please enable Debug Logging and provide the resulting log files to Bocada Support. </w:t>
      </w:r>
    </w:p>
    <w:p w:rsidR="00583626" w:rsidP="00583626" w:rsidRDefault="00583626" w14:paraId="44E96144" w14:textId="7BD2F378">
      <w:pPr>
        <w:rPr>
          <w:rFonts w:eastAsiaTheme="majorEastAsia"/>
        </w:rPr>
      </w:pPr>
    </w:p>
    <w:p w:rsidRPr="00583626" w:rsidR="00583626" w:rsidP="00583626" w:rsidRDefault="00583626" w14:paraId="66D34591" w14:textId="36083AD6">
      <w:pPr>
        <w:pStyle w:val="ListParagraph"/>
        <w:numPr>
          <w:ilvl w:val="0"/>
          <w:numId w:val="5"/>
        </w:numPr>
        <w:rPr>
          <w:rFonts w:eastAsiaTheme="majorEastAsia"/>
        </w:rPr>
      </w:pPr>
      <w:r>
        <w:t xml:space="preserve">Enable Logging: In </w:t>
      </w:r>
      <w:r w:rsidRPr="00583626">
        <w:rPr>
          <w:i/>
        </w:rPr>
        <w:t>Operations: Servers</w:t>
      </w:r>
      <w:r>
        <w:t xml:space="preserve">, select the server in question. Select the </w:t>
      </w:r>
      <w:r w:rsidRPr="00583626">
        <w:rPr>
          <w:i/>
        </w:rPr>
        <w:t>Edit</w:t>
      </w:r>
      <w:r>
        <w:t xml:space="preserve"> icon (pencil) from the right Action panel to open the Edit Servers dialog. On the </w:t>
      </w:r>
      <w:r w:rsidRPr="00583626">
        <w:rPr>
          <w:i/>
        </w:rPr>
        <w:t>Settings</w:t>
      </w:r>
      <w:r>
        <w:t xml:space="preserve"> tab, set ‘Debug logging level’ to ‘High’.</w:t>
      </w:r>
    </w:p>
    <w:p w:rsidRPr="009B309C" w:rsidR="009B309C" w:rsidP="009B309C" w:rsidRDefault="00583626" w14:paraId="5839B038" w14:textId="2EFD2A36">
      <w:pPr>
        <w:pStyle w:val="ListParagraph"/>
        <w:numPr>
          <w:ilvl w:val="0"/>
          <w:numId w:val="5"/>
        </w:numPr>
        <w:rPr>
          <w:rFonts w:eastAsiaTheme="majorEastAsia"/>
        </w:rPr>
      </w:pPr>
      <w:r>
        <w:t xml:space="preserve">Run Collection: In </w:t>
      </w:r>
      <w:r w:rsidRPr="00583626">
        <w:rPr>
          <w:i/>
        </w:rPr>
        <w:t>Operations: Data Collection</w:t>
      </w:r>
      <w:r>
        <w:t xml:space="preserve">, select the server in question. Check that the current collection Status does not currently display ‘In Progress’ or ‘Pending’. </w:t>
      </w:r>
      <w:r w:rsidR="009B309C">
        <w:t xml:space="preserve">Select the </w:t>
      </w:r>
      <w:r w:rsidR="009B309C">
        <w:rPr>
          <w:i/>
        </w:rPr>
        <w:t>Run Manual Upda</w:t>
      </w:r>
      <w:r w:rsidRPr="00583626" w:rsidR="009B309C">
        <w:rPr>
          <w:i/>
        </w:rPr>
        <w:t>t</w:t>
      </w:r>
      <w:r w:rsidR="009B309C">
        <w:rPr>
          <w:i/>
        </w:rPr>
        <w:t>es</w:t>
      </w:r>
      <w:r w:rsidR="009B309C">
        <w:t xml:space="preserve"> icon (green arrow) from the right Action panel to open the Run Manual Updates dialog, and click ‘Run’. View the collection status until it moves from ‘In Progress’ to a completed status, either ‘Successful’ or ‘Failed’. Note: The messages seen in the collections activity may give important clues as to the reason for the collections issue, such as the stage of collections and actual failure message.</w:t>
      </w:r>
    </w:p>
    <w:p w:rsidRPr="008809A8" w:rsidR="008809A8" w:rsidP="008809A8" w:rsidRDefault="009B309C" w14:paraId="4847396C" w14:textId="59715F8D">
      <w:pPr>
        <w:pStyle w:val="ListParagraph"/>
        <w:numPr>
          <w:ilvl w:val="0"/>
          <w:numId w:val="5"/>
        </w:numPr>
        <w:rPr>
          <w:rFonts w:eastAsiaTheme="majorEastAsia"/>
        </w:rPr>
      </w:pPr>
      <w:r>
        <w:t xml:space="preserve">Provide Logs: If you have not changed the default Log File Location, the collection logs will appear on the Data Collection Server in the Bocada installation directory, within Bocada\DataCollection\log\beupdate\CommVault\&lt;SERVER_NAME&gt;\&lt;UPDATE_TYPE&gt;\ ; </w:t>
      </w:r>
      <w:r w:rsidRPr="00091939" w:rsidR="008809A8">
        <w:t xml:space="preserve">There, you should see the log files for any logged </w:t>
      </w:r>
      <w:r w:rsidR="008809A8">
        <w:t>collections</w:t>
      </w:r>
      <w:r w:rsidRPr="00091939" w:rsidR="008809A8">
        <w:t>. Select</w:t>
      </w:r>
      <w:r w:rsidR="008809A8">
        <w:t xml:space="preserve"> the log with the timestamp that corresponds to the collection in question,</w:t>
      </w:r>
      <w:r w:rsidRPr="007628BD" w:rsidR="008809A8">
        <w:t xml:space="preserve"> </w:t>
      </w:r>
      <w:r w:rsidR="008809A8">
        <w:t>and either send it to Bocada Support or attach it to the support case.</w:t>
      </w:r>
    </w:p>
    <w:p w:rsidRPr="006E75B6" w:rsidR="008809A8" w:rsidP="008809A8" w:rsidRDefault="008809A8" w14:paraId="0D75BB6B" w14:textId="1A68A69B">
      <w:pPr>
        <w:pStyle w:val="ListParagraph"/>
        <w:numPr>
          <w:ilvl w:val="0"/>
          <w:numId w:val="5"/>
        </w:numPr>
        <w:rPr>
          <w:rFonts w:eastAsiaTheme="majorEastAsia"/>
        </w:rPr>
      </w:pPr>
      <w:r>
        <w:rPr>
          <w:rFonts w:eastAsiaTheme="majorEastAsia"/>
        </w:rPr>
        <w:t xml:space="preserve">Provide Snapshots: </w:t>
      </w:r>
      <w:r>
        <w:t>If you have not changed the default Log File Location, the collection logs will appear on the Data Collection Server in the Bocada installation directory, within Bocada\DataCollection\snapshot\CommVault\&lt;SERVER_NAME&gt;\&lt;UPDATE_TYPE&gt;\ ; There, you should find the snapshot</w:t>
      </w:r>
      <w:r w:rsidRPr="00091939">
        <w:t xml:space="preserve"> files</w:t>
      </w:r>
      <w:r>
        <w:t>.</w:t>
      </w:r>
      <w:r w:rsidRPr="00091939">
        <w:t xml:space="preserve"> Select</w:t>
      </w:r>
      <w:r>
        <w:t xml:space="preserve"> the .</w:t>
      </w:r>
      <w:proofErr w:type="spellStart"/>
      <w:r>
        <w:t>db</w:t>
      </w:r>
      <w:proofErr w:type="spellEnd"/>
      <w:r>
        <w:t xml:space="preserve"> and .db3 files with the timestamp that corresponds to the collection in question,</w:t>
      </w:r>
      <w:r w:rsidRPr="007628BD">
        <w:t xml:space="preserve"> </w:t>
      </w:r>
      <w:r>
        <w:t>and either send it to Bocada Support or attach it to the support case.</w:t>
      </w:r>
    </w:p>
    <w:p w:rsidRPr="006E75B6" w:rsidR="006E75B6" w:rsidP="008809A8" w:rsidRDefault="006E75B6" w14:paraId="3BCC5B54" w14:textId="02D65A62">
      <w:pPr>
        <w:pStyle w:val="ListParagraph"/>
        <w:numPr>
          <w:ilvl w:val="0"/>
          <w:numId w:val="5"/>
        </w:numPr>
        <w:rPr>
          <w:rFonts w:eastAsiaTheme="majorEastAsia"/>
        </w:rPr>
      </w:pPr>
      <w:r>
        <w:t xml:space="preserve">Provide </w:t>
      </w:r>
      <w:proofErr w:type="spellStart"/>
      <w:r>
        <w:t>CommServ</w:t>
      </w:r>
      <w:proofErr w:type="spellEnd"/>
      <w:r>
        <w:t xml:space="preserve"> DB: If a solution is not found in any of the above sources, Bocada Support may ask for a copy of the </w:t>
      </w:r>
      <w:proofErr w:type="spellStart"/>
      <w:r>
        <w:t>CommServ</w:t>
      </w:r>
      <w:proofErr w:type="spellEnd"/>
      <w:r>
        <w:t xml:space="preserve"> database. Please back up the database and provide a copy of that backup to Bocada Support; If necessary, Bocada will provide an ftp location for you to upload the database file. </w:t>
      </w:r>
    </w:p>
    <w:p w:rsidR="006E75B6" w:rsidP="006E75B6" w:rsidRDefault="006E75B6" w14:paraId="5B3059F0" w14:textId="336C8791">
      <w:pPr>
        <w:rPr>
          <w:rFonts w:eastAsiaTheme="majorEastAsia"/>
        </w:rPr>
      </w:pPr>
    </w:p>
    <w:p w:rsidR="008809A8" w:rsidP="008809A8" w:rsidRDefault="008809A8" w14:paraId="21E3BF25" w14:textId="41EDE1D6">
      <w:pPr>
        <w:pStyle w:val="ListParagraph"/>
        <w:rPr>
          <w:rFonts w:eastAsiaTheme="majorEastAsia"/>
        </w:rPr>
      </w:pPr>
    </w:p>
    <w:p w:rsidR="007B7219" w:rsidRDefault="007B7219" w14:paraId="08291DFF" w14:textId="77777777">
      <w:pPr>
        <w:spacing w:after="200"/>
        <w:contextualSpacing w:val="0"/>
        <w:rPr>
          <w:rFonts w:asciiTheme="majorHAnsi" w:hAnsiTheme="majorHAnsi" w:eastAsiaTheme="majorEastAsia" w:cstheme="majorBidi"/>
          <w:b/>
          <w:bCs/>
          <w:color w:val="365F91" w:themeColor="accent1" w:themeShade="BF"/>
          <w:sz w:val="28"/>
          <w:szCs w:val="28"/>
        </w:rPr>
      </w:pPr>
      <w:r>
        <w:br w:type="page"/>
      </w:r>
    </w:p>
    <w:p w:rsidR="007B7219" w:rsidP="007B7219" w:rsidRDefault="007B7219" w14:paraId="3CCA1053" w14:textId="22C55A62" w14:noSpellErr="1">
      <w:pPr>
        <w:pStyle w:val="Heading1"/>
      </w:pPr>
      <w:bookmarkStart w:name="_Toc356037273" w:id="1842129557"/>
      <w:r w:rsidR="007B7219">
        <w:rPr/>
        <w:t>Appendix B: Mapping CommVault fields to Bocada</w:t>
      </w:r>
      <w:r w:rsidR="007B7219">
        <w:rPr/>
        <w:t xml:space="preserve"> </w:t>
      </w:r>
      <w:bookmarkEnd w:id="1842129557"/>
    </w:p>
    <w:p w:rsidR="007B7219" w:rsidP="007B7219" w:rsidRDefault="00FF5340" w14:paraId="2EE12455" w14:textId="735C5871" w14:noSpellErr="1">
      <w:pPr>
        <w:pStyle w:val="Heading2"/>
      </w:pPr>
      <w:bookmarkStart w:name="_Toc1511719340" w:id="1716178851"/>
      <w:r w:rsidR="00FF5340">
        <w:rPr/>
        <w:t>CommVault Mapping Table</w:t>
      </w:r>
      <w:r w:rsidR="00FF5340">
        <w:rPr/>
        <w:t xml:space="preserve"> </w:t>
      </w:r>
      <w:bookmarkEnd w:id="1716178851"/>
    </w:p>
    <w:p w:rsidR="007B7219" w:rsidP="007B7219" w:rsidRDefault="00FF5340" w14:paraId="29A34CEE" w14:textId="793EF18B">
      <w:pPr>
        <w:rPr>
          <w:rFonts w:eastAsiaTheme="majorEastAsia"/>
        </w:rPr>
      </w:pPr>
      <w:r>
        <w:rPr>
          <w:rFonts w:eastAsiaTheme="majorEastAsia"/>
        </w:rPr>
        <w:t xml:space="preserve">The table below describes if, and how, fields from CommVault are mapped to fields in Bocada:  </w:t>
      </w:r>
    </w:p>
    <w:p w:rsidR="007B7219" w:rsidP="007B7219" w:rsidRDefault="007B7219" w14:paraId="6783A9AE" w14:textId="7ED94D51">
      <w:pPr>
        <w:rPr>
          <w:rFonts w:eastAsiaTheme="majorEastAsia"/>
        </w:rPr>
      </w:pPr>
    </w:p>
    <w:tbl>
      <w:tblPr>
        <w:tblW w:w="95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020"/>
        <w:gridCol w:w="2560"/>
        <w:gridCol w:w="1980"/>
      </w:tblGrid>
      <w:tr w:rsidRPr="00F607B3" w:rsidR="00F607B3" w:rsidTr="00F607B3" w14:paraId="78C3AE61" w14:textId="77777777">
        <w:trPr>
          <w:trHeight w:val="315"/>
        </w:trPr>
        <w:tc>
          <w:tcPr>
            <w:tcW w:w="5020" w:type="dxa"/>
            <w:shd w:val="clear" w:color="auto" w:fill="auto"/>
            <w:vAlign w:val="center"/>
            <w:hideMark/>
          </w:tcPr>
          <w:p w:rsidRPr="00F607B3" w:rsidR="00F607B3" w:rsidP="00F607B3" w:rsidRDefault="002075C5" w14:paraId="75C58C21" w14:textId="4F89035F">
            <w:pPr>
              <w:contextualSpacing w:val="0"/>
              <w:rPr>
                <w:b/>
                <w:bCs/>
                <w:color w:val="000000"/>
                <w:szCs w:val="22"/>
              </w:rPr>
            </w:pPr>
            <w:r>
              <w:rPr>
                <w:b/>
                <w:bCs/>
                <w:color w:val="000000"/>
                <w:szCs w:val="22"/>
              </w:rPr>
              <w:t>CommV</w:t>
            </w:r>
            <w:r w:rsidRPr="00F607B3" w:rsidR="00F607B3">
              <w:rPr>
                <w:b/>
                <w:bCs/>
                <w:color w:val="000000"/>
                <w:szCs w:val="22"/>
              </w:rPr>
              <w:t>ault Field</w:t>
            </w:r>
          </w:p>
        </w:tc>
        <w:tc>
          <w:tcPr>
            <w:tcW w:w="2560" w:type="dxa"/>
            <w:shd w:val="clear" w:color="auto" w:fill="auto"/>
            <w:vAlign w:val="center"/>
            <w:hideMark/>
          </w:tcPr>
          <w:p w:rsidRPr="00F607B3" w:rsidR="00F607B3" w:rsidP="00F607B3" w:rsidRDefault="00F607B3" w14:paraId="369DCC9E" w14:textId="77777777">
            <w:pPr>
              <w:contextualSpacing w:val="0"/>
              <w:rPr>
                <w:b/>
                <w:bCs/>
                <w:color w:val="000000"/>
                <w:szCs w:val="22"/>
              </w:rPr>
            </w:pPr>
            <w:r w:rsidRPr="00F607B3">
              <w:rPr>
                <w:b/>
                <w:bCs/>
                <w:color w:val="000000"/>
                <w:szCs w:val="22"/>
              </w:rPr>
              <w:t>Bocada Field</w:t>
            </w:r>
          </w:p>
        </w:tc>
        <w:tc>
          <w:tcPr>
            <w:tcW w:w="1980" w:type="dxa"/>
            <w:shd w:val="clear" w:color="auto" w:fill="auto"/>
            <w:vAlign w:val="center"/>
            <w:hideMark/>
          </w:tcPr>
          <w:p w:rsidRPr="00F607B3" w:rsidR="00F607B3" w:rsidP="00F607B3" w:rsidRDefault="00F607B3" w14:paraId="5EBFA256" w14:textId="77777777">
            <w:pPr>
              <w:contextualSpacing w:val="0"/>
              <w:jc w:val="center"/>
              <w:rPr>
                <w:b/>
                <w:bCs/>
                <w:color w:val="000000"/>
                <w:szCs w:val="22"/>
              </w:rPr>
            </w:pPr>
            <w:r w:rsidRPr="00F607B3">
              <w:rPr>
                <w:b/>
                <w:bCs/>
                <w:color w:val="000000"/>
                <w:szCs w:val="22"/>
              </w:rPr>
              <w:t>Collected by</w:t>
            </w:r>
          </w:p>
        </w:tc>
      </w:tr>
      <w:tr w:rsidRPr="00F607B3" w:rsidR="00F607B3" w:rsidTr="00F607B3" w14:paraId="4A98277E" w14:textId="77777777">
        <w:trPr>
          <w:trHeight w:val="300"/>
        </w:trPr>
        <w:tc>
          <w:tcPr>
            <w:tcW w:w="5020" w:type="dxa"/>
            <w:shd w:val="clear" w:color="auto" w:fill="auto"/>
            <w:vAlign w:val="center"/>
            <w:hideMark/>
          </w:tcPr>
          <w:p w:rsidRPr="00F607B3" w:rsidR="00F607B3" w:rsidP="00F607B3" w:rsidRDefault="00F607B3" w14:paraId="0605CA16" w14:textId="77777777">
            <w:pPr>
              <w:contextualSpacing w:val="0"/>
              <w:rPr>
                <w:color w:val="000000"/>
                <w:sz w:val="18"/>
                <w:szCs w:val="18"/>
              </w:rPr>
            </w:pPr>
            <w:r w:rsidRPr="00F607B3">
              <w:rPr>
                <w:color w:val="000000"/>
                <w:sz w:val="18"/>
                <w:szCs w:val="18"/>
              </w:rPr>
              <w:t>Client Group</w:t>
            </w:r>
          </w:p>
        </w:tc>
        <w:tc>
          <w:tcPr>
            <w:tcW w:w="2560" w:type="dxa"/>
            <w:shd w:val="clear" w:color="auto" w:fill="auto"/>
            <w:vAlign w:val="center"/>
            <w:hideMark/>
          </w:tcPr>
          <w:p w:rsidRPr="00F607B3" w:rsidR="00F607B3" w:rsidP="00F607B3" w:rsidRDefault="00F607B3" w14:paraId="2726516F" w14:textId="77777777">
            <w:pPr>
              <w:contextualSpacing w:val="0"/>
              <w:rPr>
                <w:color w:val="000000"/>
                <w:sz w:val="18"/>
                <w:szCs w:val="18"/>
              </w:rPr>
            </w:pPr>
            <w:r w:rsidRPr="00F607B3">
              <w:rPr>
                <w:color w:val="000000"/>
                <w:sz w:val="18"/>
                <w:szCs w:val="18"/>
              </w:rPr>
              <w:t>Not currently mined.</w:t>
            </w:r>
          </w:p>
        </w:tc>
        <w:tc>
          <w:tcPr>
            <w:tcW w:w="1980" w:type="dxa"/>
            <w:shd w:val="clear" w:color="auto" w:fill="auto"/>
            <w:vAlign w:val="center"/>
            <w:hideMark/>
          </w:tcPr>
          <w:p w:rsidRPr="00F607B3" w:rsidR="00F607B3" w:rsidP="00F607B3" w:rsidRDefault="00F607B3" w14:paraId="040EE5F2" w14:textId="77777777">
            <w:pPr>
              <w:contextualSpacing w:val="0"/>
              <w:jc w:val="center"/>
              <w:rPr>
                <w:color w:val="000000"/>
                <w:sz w:val="18"/>
                <w:szCs w:val="18"/>
              </w:rPr>
            </w:pPr>
            <w:r w:rsidRPr="00F607B3">
              <w:rPr>
                <w:color w:val="000000"/>
                <w:sz w:val="18"/>
                <w:szCs w:val="18"/>
              </w:rPr>
              <w:t>NA</w:t>
            </w:r>
          </w:p>
        </w:tc>
      </w:tr>
      <w:tr w:rsidRPr="00F607B3" w:rsidR="00F607B3" w:rsidTr="00F607B3" w14:paraId="0DC36BEA" w14:textId="77777777">
        <w:trPr>
          <w:trHeight w:val="300"/>
        </w:trPr>
        <w:tc>
          <w:tcPr>
            <w:tcW w:w="5020" w:type="dxa"/>
            <w:shd w:val="clear" w:color="auto" w:fill="auto"/>
            <w:vAlign w:val="center"/>
            <w:hideMark/>
          </w:tcPr>
          <w:p w:rsidRPr="00F607B3" w:rsidR="00F607B3" w:rsidP="00F607B3" w:rsidRDefault="00F607B3" w14:paraId="4A2FD78D" w14:textId="77777777">
            <w:pPr>
              <w:contextualSpacing w:val="0"/>
              <w:rPr>
                <w:color w:val="000000"/>
                <w:sz w:val="18"/>
                <w:szCs w:val="18"/>
              </w:rPr>
            </w:pPr>
            <w:r w:rsidRPr="00F607B3">
              <w:rPr>
                <w:color w:val="000000"/>
                <w:sz w:val="18"/>
                <w:szCs w:val="18"/>
              </w:rPr>
              <w:t>Storage Policy</w:t>
            </w:r>
          </w:p>
        </w:tc>
        <w:tc>
          <w:tcPr>
            <w:tcW w:w="2560" w:type="dxa"/>
            <w:shd w:val="clear" w:color="auto" w:fill="auto"/>
            <w:vAlign w:val="center"/>
            <w:hideMark/>
          </w:tcPr>
          <w:p w:rsidRPr="00F607B3" w:rsidR="00F607B3" w:rsidP="00F607B3" w:rsidRDefault="00F607B3" w14:paraId="286D20B4" w14:textId="77777777">
            <w:pPr>
              <w:contextualSpacing w:val="0"/>
              <w:rPr>
                <w:color w:val="000000"/>
                <w:sz w:val="18"/>
                <w:szCs w:val="18"/>
              </w:rPr>
            </w:pPr>
            <w:r w:rsidRPr="00F607B3">
              <w:rPr>
                <w:color w:val="000000"/>
                <w:sz w:val="18"/>
                <w:szCs w:val="18"/>
              </w:rPr>
              <w:t>Not currently mined.</w:t>
            </w:r>
          </w:p>
        </w:tc>
        <w:tc>
          <w:tcPr>
            <w:tcW w:w="1980" w:type="dxa"/>
            <w:shd w:val="clear" w:color="auto" w:fill="auto"/>
            <w:vAlign w:val="center"/>
            <w:hideMark/>
          </w:tcPr>
          <w:p w:rsidRPr="00F607B3" w:rsidR="00F607B3" w:rsidP="00F607B3" w:rsidRDefault="00F607B3" w14:paraId="7D8C631E" w14:textId="77777777">
            <w:pPr>
              <w:contextualSpacing w:val="0"/>
              <w:jc w:val="center"/>
              <w:rPr>
                <w:color w:val="000000"/>
                <w:sz w:val="18"/>
                <w:szCs w:val="18"/>
              </w:rPr>
            </w:pPr>
            <w:r w:rsidRPr="00F607B3">
              <w:rPr>
                <w:color w:val="000000"/>
                <w:sz w:val="18"/>
                <w:szCs w:val="18"/>
              </w:rPr>
              <w:t>NA</w:t>
            </w:r>
          </w:p>
        </w:tc>
      </w:tr>
      <w:tr w:rsidRPr="00F607B3" w:rsidR="00F607B3" w:rsidTr="00F607B3" w14:paraId="3F861605" w14:textId="77777777">
        <w:trPr>
          <w:trHeight w:val="300"/>
        </w:trPr>
        <w:tc>
          <w:tcPr>
            <w:tcW w:w="5020" w:type="dxa"/>
            <w:shd w:val="clear" w:color="auto" w:fill="auto"/>
            <w:vAlign w:val="center"/>
            <w:hideMark/>
          </w:tcPr>
          <w:p w:rsidRPr="00F607B3" w:rsidR="00F607B3" w:rsidP="00F607B3" w:rsidRDefault="00F607B3" w14:paraId="1D0FA6C8" w14:textId="77777777">
            <w:pPr>
              <w:contextualSpacing w:val="0"/>
              <w:rPr>
                <w:color w:val="000000"/>
                <w:sz w:val="18"/>
                <w:szCs w:val="18"/>
              </w:rPr>
            </w:pPr>
            <w:r w:rsidRPr="00F607B3">
              <w:rPr>
                <w:color w:val="000000"/>
                <w:sz w:val="18"/>
                <w:szCs w:val="18"/>
              </w:rPr>
              <w:t>Schedule Policy</w:t>
            </w:r>
          </w:p>
        </w:tc>
        <w:tc>
          <w:tcPr>
            <w:tcW w:w="2560" w:type="dxa"/>
            <w:shd w:val="clear" w:color="auto" w:fill="auto"/>
            <w:vAlign w:val="center"/>
            <w:hideMark/>
          </w:tcPr>
          <w:p w:rsidRPr="00F607B3" w:rsidR="00F607B3" w:rsidP="00F607B3" w:rsidRDefault="00F607B3" w14:paraId="7C7E1806" w14:textId="77777777">
            <w:pPr>
              <w:contextualSpacing w:val="0"/>
              <w:rPr>
                <w:color w:val="000000"/>
                <w:sz w:val="18"/>
                <w:szCs w:val="18"/>
              </w:rPr>
            </w:pPr>
            <w:r w:rsidRPr="00F607B3">
              <w:rPr>
                <w:color w:val="000000"/>
                <w:sz w:val="18"/>
                <w:szCs w:val="18"/>
              </w:rPr>
              <w:t>Part of Policy Name</w:t>
            </w:r>
          </w:p>
        </w:tc>
        <w:tc>
          <w:tcPr>
            <w:tcW w:w="1980" w:type="dxa"/>
            <w:shd w:val="clear" w:color="auto" w:fill="auto"/>
            <w:vAlign w:val="center"/>
            <w:hideMark/>
          </w:tcPr>
          <w:p w:rsidRPr="00F607B3" w:rsidR="00F607B3" w:rsidP="00F607B3" w:rsidRDefault="00F607B3" w14:paraId="0C6CA86D" w14:textId="77777777">
            <w:pPr>
              <w:contextualSpacing w:val="0"/>
              <w:jc w:val="center"/>
              <w:rPr>
                <w:color w:val="000000"/>
                <w:sz w:val="18"/>
                <w:szCs w:val="18"/>
              </w:rPr>
            </w:pPr>
            <w:r w:rsidRPr="00F607B3">
              <w:rPr>
                <w:color w:val="000000"/>
                <w:sz w:val="18"/>
                <w:szCs w:val="18"/>
              </w:rPr>
              <w:t>Policy Mining</w:t>
            </w:r>
          </w:p>
        </w:tc>
      </w:tr>
      <w:tr w:rsidRPr="00F607B3" w:rsidR="00F607B3" w:rsidTr="00F607B3" w14:paraId="16FE6A91" w14:textId="77777777">
        <w:trPr>
          <w:trHeight w:val="300"/>
        </w:trPr>
        <w:tc>
          <w:tcPr>
            <w:tcW w:w="5020" w:type="dxa"/>
            <w:shd w:val="clear" w:color="auto" w:fill="auto"/>
            <w:vAlign w:val="center"/>
            <w:hideMark/>
          </w:tcPr>
          <w:p w:rsidRPr="00F607B3" w:rsidR="00F607B3" w:rsidP="00F607B3" w:rsidRDefault="00F607B3" w14:paraId="16078F0B" w14:textId="77777777">
            <w:pPr>
              <w:contextualSpacing w:val="0"/>
              <w:rPr>
                <w:color w:val="000000"/>
                <w:sz w:val="18"/>
                <w:szCs w:val="18"/>
              </w:rPr>
            </w:pPr>
            <w:r w:rsidRPr="00F607B3">
              <w:rPr>
                <w:color w:val="000000"/>
                <w:sz w:val="18"/>
                <w:szCs w:val="18"/>
              </w:rPr>
              <w:t>Schedule</w:t>
            </w:r>
          </w:p>
        </w:tc>
        <w:tc>
          <w:tcPr>
            <w:tcW w:w="2560" w:type="dxa"/>
            <w:shd w:val="clear" w:color="auto" w:fill="auto"/>
            <w:vAlign w:val="center"/>
            <w:hideMark/>
          </w:tcPr>
          <w:p w:rsidRPr="00F607B3" w:rsidR="00F607B3" w:rsidP="00F607B3" w:rsidRDefault="00F607B3" w14:paraId="3B074894" w14:textId="77777777">
            <w:pPr>
              <w:contextualSpacing w:val="0"/>
              <w:rPr>
                <w:color w:val="000000"/>
                <w:sz w:val="18"/>
                <w:szCs w:val="18"/>
              </w:rPr>
            </w:pPr>
            <w:r w:rsidRPr="00F607B3">
              <w:rPr>
                <w:color w:val="000000"/>
                <w:sz w:val="18"/>
                <w:szCs w:val="18"/>
              </w:rPr>
              <w:t>Part of Policy Name</w:t>
            </w:r>
          </w:p>
        </w:tc>
        <w:tc>
          <w:tcPr>
            <w:tcW w:w="1980" w:type="dxa"/>
            <w:shd w:val="clear" w:color="auto" w:fill="auto"/>
            <w:vAlign w:val="center"/>
            <w:hideMark/>
          </w:tcPr>
          <w:p w:rsidRPr="00F607B3" w:rsidR="00F607B3" w:rsidP="00F607B3" w:rsidRDefault="00F607B3" w14:paraId="2178165B" w14:textId="77777777">
            <w:pPr>
              <w:contextualSpacing w:val="0"/>
              <w:jc w:val="center"/>
              <w:rPr>
                <w:color w:val="000000"/>
                <w:sz w:val="18"/>
                <w:szCs w:val="18"/>
              </w:rPr>
            </w:pPr>
            <w:r w:rsidRPr="00F607B3">
              <w:rPr>
                <w:color w:val="000000"/>
                <w:sz w:val="18"/>
                <w:szCs w:val="18"/>
              </w:rPr>
              <w:t>Policy Mining</w:t>
            </w:r>
          </w:p>
        </w:tc>
      </w:tr>
      <w:tr w:rsidRPr="00F607B3" w:rsidR="00F607B3" w:rsidTr="00F607B3" w14:paraId="0451C809" w14:textId="77777777">
        <w:trPr>
          <w:trHeight w:val="600"/>
        </w:trPr>
        <w:tc>
          <w:tcPr>
            <w:tcW w:w="5020" w:type="dxa"/>
            <w:shd w:val="clear" w:color="auto" w:fill="auto"/>
            <w:vAlign w:val="center"/>
            <w:hideMark/>
          </w:tcPr>
          <w:p w:rsidRPr="00F607B3" w:rsidR="00F607B3" w:rsidP="00F607B3" w:rsidRDefault="00F607B3" w14:paraId="394AF76C" w14:textId="77777777">
            <w:pPr>
              <w:contextualSpacing w:val="0"/>
              <w:rPr>
                <w:color w:val="000000"/>
                <w:sz w:val="18"/>
                <w:szCs w:val="18"/>
              </w:rPr>
            </w:pPr>
            <w:r w:rsidRPr="00F607B3">
              <w:rPr>
                <w:color w:val="000000"/>
                <w:sz w:val="18"/>
                <w:szCs w:val="18"/>
              </w:rPr>
              <w:t>Disk library</w:t>
            </w:r>
          </w:p>
        </w:tc>
        <w:tc>
          <w:tcPr>
            <w:tcW w:w="2560" w:type="dxa"/>
            <w:shd w:val="clear" w:color="auto" w:fill="auto"/>
            <w:vAlign w:val="center"/>
            <w:hideMark/>
          </w:tcPr>
          <w:p w:rsidRPr="00F607B3" w:rsidR="00F607B3" w:rsidP="00F607B3" w:rsidRDefault="00F607B3" w14:paraId="0C02AD4C" w14:textId="36C1521C">
            <w:pPr>
              <w:contextualSpacing w:val="0"/>
              <w:rPr>
                <w:color w:val="000000"/>
                <w:sz w:val="18"/>
                <w:szCs w:val="18"/>
              </w:rPr>
            </w:pPr>
            <w:r w:rsidRPr="00F607B3">
              <w:rPr>
                <w:color w:val="000000"/>
                <w:sz w:val="18"/>
                <w:szCs w:val="18"/>
              </w:rPr>
              <w:t>Not currently mined</w:t>
            </w:r>
            <w:r w:rsidR="002075C5">
              <w:rPr>
                <w:color w:val="000000"/>
                <w:sz w:val="18"/>
                <w:szCs w:val="18"/>
              </w:rPr>
              <w:t xml:space="preserve"> (Bocada considers this a bug and is working to add this data)</w:t>
            </w:r>
          </w:p>
        </w:tc>
        <w:tc>
          <w:tcPr>
            <w:tcW w:w="1980" w:type="dxa"/>
            <w:shd w:val="clear" w:color="auto" w:fill="auto"/>
            <w:vAlign w:val="center"/>
            <w:hideMark/>
          </w:tcPr>
          <w:p w:rsidRPr="00F607B3" w:rsidR="00F607B3" w:rsidP="00F607B3" w:rsidRDefault="00F607B3" w14:paraId="5DBF05E3" w14:textId="77777777">
            <w:pPr>
              <w:contextualSpacing w:val="0"/>
              <w:jc w:val="center"/>
              <w:rPr>
                <w:color w:val="000000"/>
                <w:sz w:val="18"/>
                <w:szCs w:val="18"/>
              </w:rPr>
            </w:pPr>
            <w:r w:rsidRPr="00F607B3">
              <w:rPr>
                <w:color w:val="000000"/>
                <w:sz w:val="18"/>
                <w:szCs w:val="18"/>
              </w:rPr>
              <w:t>NA</w:t>
            </w:r>
          </w:p>
        </w:tc>
      </w:tr>
      <w:tr w:rsidRPr="00F607B3" w:rsidR="00F607B3" w:rsidTr="00F607B3" w14:paraId="70A26F25" w14:textId="77777777">
        <w:trPr>
          <w:trHeight w:val="300"/>
        </w:trPr>
        <w:tc>
          <w:tcPr>
            <w:tcW w:w="5020" w:type="dxa"/>
            <w:shd w:val="clear" w:color="auto" w:fill="auto"/>
            <w:vAlign w:val="center"/>
            <w:hideMark/>
          </w:tcPr>
          <w:p w:rsidRPr="00F607B3" w:rsidR="00F607B3" w:rsidP="00F607B3" w:rsidRDefault="00F607B3" w14:paraId="5073AA54" w14:textId="77777777">
            <w:pPr>
              <w:contextualSpacing w:val="0"/>
              <w:rPr>
                <w:color w:val="000000"/>
                <w:sz w:val="18"/>
                <w:szCs w:val="18"/>
              </w:rPr>
            </w:pPr>
            <w:r w:rsidRPr="00F607B3">
              <w:rPr>
                <w:color w:val="000000"/>
                <w:sz w:val="18"/>
                <w:szCs w:val="18"/>
              </w:rPr>
              <w:t>Tape Library</w:t>
            </w:r>
          </w:p>
        </w:tc>
        <w:tc>
          <w:tcPr>
            <w:tcW w:w="2560" w:type="dxa"/>
            <w:shd w:val="clear" w:color="auto" w:fill="auto"/>
            <w:vAlign w:val="center"/>
            <w:hideMark/>
          </w:tcPr>
          <w:p w:rsidRPr="00F607B3" w:rsidR="00F607B3" w:rsidP="00F607B3" w:rsidRDefault="00F607B3" w14:paraId="005A470A" w14:textId="77777777">
            <w:pPr>
              <w:contextualSpacing w:val="0"/>
              <w:rPr>
                <w:color w:val="000000"/>
                <w:sz w:val="18"/>
                <w:szCs w:val="18"/>
              </w:rPr>
            </w:pPr>
            <w:r w:rsidRPr="00F607B3">
              <w:rPr>
                <w:color w:val="000000"/>
                <w:sz w:val="18"/>
                <w:szCs w:val="18"/>
              </w:rPr>
              <w:t>Library</w:t>
            </w:r>
          </w:p>
        </w:tc>
        <w:tc>
          <w:tcPr>
            <w:tcW w:w="1980" w:type="dxa"/>
            <w:shd w:val="clear" w:color="auto" w:fill="auto"/>
            <w:vAlign w:val="center"/>
            <w:hideMark/>
          </w:tcPr>
          <w:p w:rsidRPr="00F607B3" w:rsidR="00F607B3" w:rsidP="00F607B3" w:rsidRDefault="00F607B3" w14:paraId="2263FB0A" w14:textId="77777777">
            <w:pPr>
              <w:contextualSpacing w:val="0"/>
              <w:jc w:val="center"/>
              <w:rPr>
                <w:color w:val="000000"/>
                <w:sz w:val="18"/>
                <w:szCs w:val="18"/>
              </w:rPr>
            </w:pPr>
            <w:r w:rsidRPr="00F607B3">
              <w:rPr>
                <w:color w:val="000000"/>
                <w:sz w:val="18"/>
                <w:szCs w:val="18"/>
              </w:rPr>
              <w:t>Occupancy</w:t>
            </w:r>
          </w:p>
        </w:tc>
      </w:tr>
      <w:tr w:rsidRPr="00F607B3" w:rsidR="00F607B3" w:rsidTr="00F607B3" w14:paraId="566E34B1" w14:textId="77777777">
        <w:trPr>
          <w:trHeight w:val="300"/>
        </w:trPr>
        <w:tc>
          <w:tcPr>
            <w:tcW w:w="5020" w:type="dxa"/>
            <w:shd w:val="clear" w:color="auto" w:fill="auto"/>
            <w:vAlign w:val="center"/>
            <w:hideMark/>
          </w:tcPr>
          <w:p w:rsidRPr="00F607B3" w:rsidR="00F607B3" w:rsidP="00F607B3" w:rsidRDefault="00F607B3" w14:paraId="228ED5BB" w14:textId="77777777">
            <w:pPr>
              <w:contextualSpacing w:val="0"/>
              <w:rPr>
                <w:color w:val="000000"/>
                <w:sz w:val="18"/>
                <w:szCs w:val="18"/>
              </w:rPr>
            </w:pPr>
            <w:r w:rsidRPr="00F607B3">
              <w:rPr>
                <w:color w:val="000000"/>
                <w:sz w:val="18"/>
                <w:szCs w:val="18"/>
              </w:rPr>
              <w:t>Drive</w:t>
            </w:r>
          </w:p>
        </w:tc>
        <w:tc>
          <w:tcPr>
            <w:tcW w:w="2560" w:type="dxa"/>
            <w:shd w:val="clear" w:color="auto" w:fill="auto"/>
            <w:vAlign w:val="center"/>
            <w:hideMark/>
          </w:tcPr>
          <w:p w:rsidRPr="00F607B3" w:rsidR="00F607B3" w:rsidP="00F607B3" w:rsidRDefault="00F607B3" w14:paraId="5CAA2100" w14:textId="77777777">
            <w:pPr>
              <w:contextualSpacing w:val="0"/>
              <w:rPr>
                <w:color w:val="000000"/>
                <w:sz w:val="18"/>
                <w:szCs w:val="18"/>
              </w:rPr>
            </w:pPr>
            <w:r w:rsidRPr="00F607B3">
              <w:rPr>
                <w:color w:val="000000"/>
                <w:sz w:val="18"/>
                <w:szCs w:val="18"/>
              </w:rPr>
              <w:t>Not currently mined</w:t>
            </w:r>
          </w:p>
        </w:tc>
        <w:tc>
          <w:tcPr>
            <w:tcW w:w="1980" w:type="dxa"/>
            <w:shd w:val="clear" w:color="auto" w:fill="auto"/>
            <w:vAlign w:val="center"/>
            <w:hideMark/>
          </w:tcPr>
          <w:p w:rsidRPr="00F607B3" w:rsidR="00F607B3" w:rsidP="00F607B3" w:rsidRDefault="00F607B3" w14:paraId="05C0F471" w14:textId="77777777">
            <w:pPr>
              <w:contextualSpacing w:val="0"/>
              <w:jc w:val="center"/>
              <w:rPr>
                <w:color w:val="000000"/>
                <w:sz w:val="18"/>
                <w:szCs w:val="18"/>
              </w:rPr>
            </w:pPr>
            <w:r w:rsidRPr="00F607B3">
              <w:rPr>
                <w:color w:val="000000"/>
                <w:sz w:val="18"/>
                <w:szCs w:val="18"/>
              </w:rPr>
              <w:t>NA</w:t>
            </w:r>
          </w:p>
        </w:tc>
      </w:tr>
      <w:tr w:rsidRPr="00F607B3" w:rsidR="00F607B3" w:rsidTr="00F607B3" w14:paraId="2193FA18" w14:textId="77777777">
        <w:trPr>
          <w:trHeight w:val="300"/>
        </w:trPr>
        <w:tc>
          <w:tcPr>
            <w:tcW w:w="5020" w:type="dxa"/>
            <w:shd w:val="clear" w:color="auto" w:fill="auto"/>
            <w:vAlign w:val="center"/>
            <w:hideMark/>
          </w:tcPr>
          <w:p w:rsidRPr="00F607B3" w:rsidR="00F607B3" w:rsidP="00F607B3" w:rsidRDefault="00F607B3" w14:paraId="5CE8597E" w14:textId="77777777">
            <w:pPr>
              <w:contextualSpacing w:val="0"/>
              <w:rPr>
                <w:color w:val="000000"/>
                <w:sz w:val="18"/>
                <w:szCs w:val="18"/>
              </w:rPr>
            </w:pPr>
            <w:r w:rsidRPr="00F607B3">
              <w:rPr>
                <w:color w:val="000000"/>
                <w:sz w:val="18"/>
                <w:szCs w:val="18"/>
              </w:rPr>
              <w:t>Client OS Operating System</w:t>
            </w:r>
          </w:p>
        </w:tc>
        <w:tc>
          <w:tcPr>
            <w:tcW w:w="2560" w:type="dxa"/>
            <w:shd w:val="clear" w:color="auto" w:fill="auto"/>
            <w:vAlign w:val="center"/>
            <w:hideMark/>
          </w:tcPr>
          <w:p w:rsidRPr="00F607B3" w:rsidR="00F607B3" w:rsidP="00F607B3" w:rsidRDefault="00F607B3" w14:paraId="58BE25E4" w14:textId="77777777">
            <w:pPr>
              <w:contextualSpacing w:val="0"/>
              <w:rPr>
                <w:color w:val="000000"/>
                <w:sz w:val="18"/>
                <w:szCs w:val="18"/>
              </w:rPr>
            </w:pPr>
            <w:r w:rsidRPr="00F607B3">
              <w:rPr>
                <w:color w:val="000000"/>
                <w:sz w:val="18"/>
                <w:szCs w:val="18"/>
              </w:rPr>
              <w:t>Client Platform</w:t>
            </w:r>
          </w:p>
        </w:tc>
        <w:tc>
          <w:tcPr>
            <w:tcW w:w="1980" w:type="dxa"/>
            <w:shd w:val="clear" w:color="auto" w:fill="auto"/>
            <w:vAlign w:val="center"/>
            <w:hideMark/>
          </w:tcPr>
          <w:p w:rsidRPr="00F607B3" w:rsidR="00F607B3" w:rsidP="00F607B3" w:rsidRDefault="00F607B3" w14:paraId="11C083FB" w14:textId="77777777">
            <w:pPr>
              <w:contextualSpacing w:val="0"/>
              <w:jc w:val="center"/>
              <w:rPr>
                <w:color w:val="000000"/>
                <w:sz w:val="18"/>
                <w:szCs w:val="18"/>
              </w:rPr>
            </w:pPr>
            <w:r w:rsidRPr="00F607B3">
              <w:rPr>
                <w:color w:val="000000"/>
                <w:sz w:val="18"/>
                <w:szCs w:val="18"/>
              </w:rPr>
              <w:t>Policy Mining</w:t>
            </w:r>
          </w:p>
        </w:tc>
      </w:tr>
      <w:tr w:rsidRPr="00F607B3" w:rsidR="00F607B3" w:rsidTr="00F607B3" w14:paraId="7BCE02AC" w14:textId="77777777">
        <w:trPr>
          <w:trHeight w:val="300"/>
        </w:trPr>
        <w:tc>
          <w:tcPr>
            <w:tcW w:w="5020" w:type="dxa"/>
            <w:shd w:val="clear" w:color="auto" w:fill="auto"/>
            <w:vAlign w:val="center"/>
            <w:hideMark/>
          </w:tcPr>
          <w:p w:rsidRPr="00F607B3" w:rsidR="00F607B3" w:rsidP="00F607B3" w:rsidRDefault="00F607B3" w14:paraId="018BDEF4" w14:textId="77777777">
            <w:pPr>
              <w:contextualSpacing w:val="0"/>
              <w:rPr>
                <w:color w:val="000000"/>
                <w:sz w:val="18"/>
                <w:szCs w:val="18"/>
              </w:rPr>
            </w:pPr>
            <w:r w:rsidRPr="00F607B3">
              <w:rPr>
                <w:color w:val="000000"/>
                <w:sz w:val="18"/>
                <w:szCs w:val="18"/>
              </w:rPr>
              <w:t>Media Agent</w:t>
            </w:r>
          </w:p>
        </w:tc>
        <w:tc>
          <w:tcPr>
            <w:tcW w:w="2560" w:type="dxa"/>
            <w:shd w:val="clear" w:color="auto" w:fill="auto"/>
            <w:vAlign w:val="center"/>
            <w:hideMark/>
          </w:tcPr>
          <w:p w:rsidRPr="00F607B3" w:rsidR="00F607B3" w:rsidP="00F607B3" w:rsidRDefault="00F607B3" w14:paraId="6DF4D9E4" w14:textId="77777777">
            <w:pPr>
              <w:contextualSpacing w:val="0"/>
              <w:rPr>
                <w:color w:val="000000"/>
                <w:sz w:val="18"/>
                <w:szCs w:val="18"/>
              </w:rPr>
            </w:pPr>
            <w:r w:rsidRPr="00F607B3">
              <w:rPr>
                <w:color w:val="000000"/>
                <w:sz w:val="18"/>
                <w:szCs w:val="18"/>
              </w:rPr>
              <w:t>Client</w:t>
            </w:r>
          </w:p>
        </w:tc>
        <w:tc>
          <w:tcPr>
            <w:tcW w:w="1980" w:type="dxa"/>
            <w:shd w:val="clear" w:color="auto" w:fill="auto"/>
            <w:vAlign w:val="center"/>
            <w:hideMark/>
          </w:tcPr>
          <w:p w:rsidRPr="00F607B3" w:rsidR="00F607B3" w:rsidP="00F607B3" w:rsidRDefault="00F607B3" w14:paraId="6557FE92" w14:textId="77777777">
            <w:pPr>
              <w:contextualSpacing w:val="0"/>
              <w:jc w:val="center"/>
              <w:rPr>
                <w:color w:val="000000"/>
                <w:sz w:val="18"/>
                <w:szCs w:val="18"/>
              </w:rPr>
            </w:pPr>
            <w:r w:rsidRPr="00F607B3">
              <w:rPr>
                <w:color w:val="000000"/>
                <w:sz w:val="18"/>
                <w:szCs w:val="18"/>
              </w:rPr>
              <w:t>Policy Mining</w:t>
            </w:r>
          </w:p>
        </w:tc>
      </w:tr>
      <w:tr w:rsidRPr="00F607B3" w:rsidR="00F607B3" w:rsidTr="00F607B3" w14:paraId="361E9207" w14:textId="77777777">
        <w:trPr>
          <w:trHeight w:val="300"/>
        </w:trPr>
        <w:tc>
          <w:tcPr>
            <w:tcW w:w="5020" w:type="dxa"/>
            <w:shd w:val="clear" w:color="auto" w:fill="auto"/>
            <w:vAlign w:val="center"/>
            <w:hideMark/>
          </w:tcPr>
          <w:p w:rsidRPr="00F607B3" w:rsidR="00F607B3" w:rsidP="00F607B3" w:rsidRDefault="00F607B3" w14:paraId="2949864F" w14:textId="77777777">
            <w:pPr>
              <w:contextualSpacing w:val="0"/>
              <w:rPr>
                <w:color w:val="000000"/>
                <w:sz w:val="18"/>
                <w:szCs w:val="18"/>
              </w:rPr>
            </w:pPr>
            <w:r w:rsidRPr="00F607B3">
              <w:rPr>
                <w:color w:val="000000"/>
                <w:sz w:val="18"/>
                <w:szCs w:val="18"/>
              </w:rPr>
              <w:t>Proxy Agent</w:t>
            </w:r>
          </w:p>
        </w:tc>
        <w:tc>
          <w:tcPr>
            <w:tcW w:w="2560" w:type="dxa"/>
            <w:shd w:val="clear" w:color="auto" w:fill="auto"/>
            <w:vAlign w:val="center"/>
            <w:hideMark/>
          </w:tcPr>
          <w:p w:rsidRPr="00F607B3" w:rsidR="00F607B3" w:rsidP="00F607B3" w:rsidRDefault="00F607B3" w14:paraId="04B24810" w14:textId="77777777">
            <w:pPr>
              <w:contextualSpacing w:val="0"/>
              <w:rPr>
                <w:color w:val="000000"/>
                <w:sz w:val="18"/>
                <w:szCs w:val="18"/>
              </w:rPr>
            </w:pPr>
            <w:r w:rsidRPr="00F607B3">
              <w:rPr>
                <w:color w:val="000000"/>
                <w:sz w:val="18"/>
                <w:szCs w:val="18"/>
              </w:rPr>
              <w:t>Client</w:t>
            </w:r>
          </w:p>
        </w:tc>
        <w:tc>
          <w:tcPr>
            <w:tcW w:w="1980" w:type="dxa"/>
            <w:shd w:val="clear" w:color="auto" w:fill="auto"/>
            <w:vAlign w:val="center"/>
            <w:hideMark/>
          </w:tcPr>
          <w:p w:rsidRPr="00F607B3" w:rsidR="00F607B3" w:rsidP="00F607B3" w:rsidRDefault="00F607B3" w14:paraId="46834C9A" w14:textId="77777777">
            <w:pPr>
              <w:contextualSpacing w:val="0"/>
              <w:jc w:val="center"/>
              <w:rPr>
                <w:color w:val="000000"/>
                <w:sz w:val="18"/>
                <w:szCs w:val="18"/>
              </w:rPr>
            </w:pPr>
            <w:r w:rsidRPr="00F607B3">
              <w:rPr>
                <w:color w:val="000000"/>
                <w:sz w:val="18"/>
                <w:szCs w:val="18"/>
              </w:rPr>
              <w:t>Policy Mining</w:t>
            </w:r>
          </w:p>
        </w:tc>
      </w:tr>
      <w:tr w:rsidRPr="00F607B3" w:rsidR="00F607B3" w:rsidTr="00F607B3" w14:paraId="676F3588" w14:textId="77777777">
        <w:trPr>
          <w:trHeight w:val="600"/>
        </w:trPr>
        <w:tc>
          <w:tcPr>
            <w:tcW w:w="5020" w:type="dxa"/>
            <w:shd w:val="clear" w:color="auto" w:fill="auto"/>
            <w:vAlign w:val="center"/>
            <w:hideMark/>
          </w:tcPr>
          <w:p w:rsidRPr="00F607B3" w:rsidR="00F607B3" w:rsidP="00F607B3" w:rsidRDefault="00F607B3" w14:paraId="4DD4E777" w14:textId="77777777">
            <w:pPr>
              <w:contextualSpacing w:val="0"/>
              <w:rPr>
                <w:color w:val="000000"/>
                <w:sz w:val="18"/>
                <w:szCs w:val="18"/>
              </w:rPr>
            </w:pPr>
            <w:r w:rsidRPr="00F607B3">
              <w:rPr>
                <w:color w:val="000000"/>
                <w:sz w:val="18"/>
                <w:szCs w:val="18"/>
              </w:rPr>
              <w:t>Retention</w:t>
            </w:r>
          </w:p>
        </w:tc>
        <w:tc>
          <w:tcPr>
            <w:tcW w:w="2560" w:type="dxa"/>
            <w:shd w:val="clear" w:color="auto" w:fill="auto"/>
            <w:vAlign w:val="center"/>
            <w:hideMark/>
          </w:tcPr>
          <w:p w:rsidRPr="00F607B3" w:rsidR="00F607B3" w:rsidP="00F607B3" w:rsidRDefault="00F607B3" w14:paraId="7BC0A0A9" w14:textId="77777777">
            <w:pPr>
              <w:contextualSpacing w:val="0"/>
              <w:rPr>
                <w:color w:val="000000"/>
                <w:sz w:val="18"/>
                <w:szCs w:val="18"/>
              </w:rPr>
            </w:pPr>
            <w:r w:rsidRPr="00F607B3">
              <w:rPr>
                <w:color w:val="000000"/>
                <w:sz w:val="18"/>
                <w:szCs w:val="18"/>
              </w:rPr>
              <w:t>Retention and calculated Expiration</w:t>
            </w:r>
          </w:p>
        </w:tc>
        <w:tc>
          <w:tcPr>
            <w:tcW w:w="1980" w:type="dxa"/>
            <w:shd w:val="clear" w:color="auto" w:fill="auto"/>
            <w:vAlign w:val="center"/>
            <w:hideMark/>
          </w:tcPr>
          <w:p w:rsidRPr="00F607B3" w:rsidR="00F607B3" w:rsidP="00F607B3" w:rsidRDefault="00F607B3" w14:paraId="27E06AD5" w14:textId="77777777">
            <w:pPr>
              <w:contextualSpacing w:val="0"/>
              <w:jc w:val="center"/>
              <w:rPr>
                <w:color w:val="000000"/>
                <w:sz w:val="18"/>
                <w:szCs w:val="18"/>
              </w:rPr>
            </w:pPr>
            <w:r w:rsidRPr="00F607B3">
              <w:rPr>
                <w:color w:val="000000"/>
                <w:sz w:val="18"/>
                <w:szCs w:val="18"/>
              </w:rPr>
              <w:t>Backup</w:t>
            </w:r>
          </w:p>
        </w:tc>
      </w:tr>
      <w:tr w:rsidRPr="00F607B3" w:rsidR="00F607B3" w:rsidTr="00F607B3" w14:paraId="7E8E7055" w14:textId="77777777">
        <w:trPr>
          <w:trHeight w:val="300"/>
        </w:trPr>
        <w:tc>
          <w:tcPr>
            <w:tcW w:w="5020" w:type="dxa"/>
            <w:shd w:val="clear" w:color="auto" w:fill="auto"/>
            <w:vAlign w:val="center"/>
            <w:hideMark/>
          </w:tcPr>
          <w:p w:rsidRPr="00F607B3" w:rsidR="00F607B3" w:rsidP="00F607B3" w:rsidRDefault="00F607B3" w14:paraId="30659F8A" w14:textId="77777777">
            <w:pPr>
              <w:contextualSpacing w:val="0"/>
              <w:rPr>
                <w:color w:val="000000"/>
                <w:sz w:val="18"/>
                <w:szCs w:val="18"/>
              </w:rPr>
            </w:pPr>
            <w:r w:rsidRPr="00F607B3">
              <w:rPr>
                <w:color w:val="000000"/>
                <w:sz w:val="18"/>
                <w:szCs w:val="18"/>
              </w:rPr>
              <w:t>Space Left</w:t>
            </w:r>
          </w:p>
        </w:tc>
        <w:tc>
          <w:tcPr>
            <w:tcW w:w="2560" w:type="dxa"/>
            <w:shd w:val="clear" w:color="auto" w:fill="auto"/>
            <w:vAlign w:val="center"/>
            <w:hideMark/>
          </w:tcPr>
          <w:p w:rsidRPr="00F607B3" w:rsidR="00F607B3" w:rsidP="00F607B3" w:rsidRDefault="00F607B3" w14:paraId="45A631A5" w14:textId="7C087BF4">
            <w:pPr>
              <w:contextualSpacing w:val="0"/>
              <w:rPr>
                <w:color w:val="000000"/>
                <w:sz w:val="18"/>
                <w:szCs w:val="18"/>
              </w:rPr>
            </w:pPr>
            <w:r w:rsidRPr="00F607B3">
              <w:rPr>
                <w:color w:val="000000"/>
                <w:sz w:val="18"/>
                <w:szCs w:val="18"/>
              </w:rPr>
              <w:t>Not currently mined</w:t>
            </w:r>
          </w:p>
        </w:tc>
        <w:tc>
          <w:tcPr>
            <w:tcW w:w="1980" w:type="dxa"/>
            <w:shd w:val="clear" w:color="auto" w:fill="auto"/>
            <w:vAlign w:val="center"/>
            <w:hideMark/>
          </w:tcPr>
          <w:p w:rsidRPr="00F607B3" w:rsidR="00F607B3" w:rsidP="00F607B3" w:rsidRDefault="00F607B3" w14:paraId="13CB6FD8" w14:textId="77777777">
            <w:pPr>
              <w:contextualSpacing w:val="0"/>
              <w:jc w:val="center"/>
              <w:rPr>
                <w:color w:val="000000"/>
                <w:sz w:val="18"/>
                <w:szCs w:val="18"/>
              </w:rPr>
            </w:pPr>
            <w:r w:rsidRPr="00F607B3">
              <w:rPr>
                <w:color w:val="000000"/>
                <w:sz w:val="18"/>
                <w:szCs w:val="18"/>
              </w:rPr>
              <w:t>NA</w:t>
            </w:r>
          </w:p>
        </w:tc>
      </w:tr>
      <w:tr w:rsidRPr="00F607B3" w:rsidR="00F607B3" w:rsidTr="00F607B3" w14:paraId="507ECA23" w14:textId="77777777">
        <w:trPr>
          <w:trHeight w:val="300"/>
        </w:trPr>
        <w:tc>
          <w:tcPr>
            <w:tcW w:w="5020" w:type="dxa"/>
            <w:shd w:val="clear" w:color="auto" w:fill="auto"/>
            <w:vAlign w:val="center"/>
            <w:hideMark/>
          </w:tcPr>
          <w:p w:rsidRPr="00F607B3" w:rsidR="00F607B3" w:rsidP="00F607B3" w:rsidRDefault="00F607B3" w14:paraId="397855EE" w14:textId="77777777">
            <w:pPr>
              <w:contextualSpacing w:val="0"/>
              <w:rPr>
                <w:color w:val="000000"/>
                <w:sz w:val="18"/>
                <w:szCs w:val="18"/>
              </w:rPr>
            </w:pPr>
            <w:r w:rsidRPr="00F607B3">
              <w:rPr>
                <w:color w:val="000000"/>
                <w:sz w:val="18"/>
                <w:szCs w:val="18"/>
              </w:rPr>
              <w:t>Capacity</w:t>
            </w:r>
          </w:p>
        </w:tc>
        <w:tc>
          <w:tcPr>
            <w:tcW w:w="2560" w:type="dxa"/>
            <w:shd w:val="clear" w:color="auto" w:fill="auto"/>
            <w:vAlign w:val="center"/>
            <w:hideMark/>
          </w:tcPr>
          <w:p w:rsidRPr="00F607B3" w:rsidR="00F607B3" w:rsidP="00F607B3" w:rsidRDefault="00F607B3" w14:paraId="58855869" w14:textId="0AD750F0">
            <w:pPr>
              <w:contextualSpacing w:val="0"/>
              <w:rPr>
                <w:color w:val="000000"/>
                <w:sz w:val="18"/>
                <w:szCs w:val="18"/>
              </w:rPr>
            </w:pPr>
            <w:r w:rsidRPr="00F607B3">
              <w:rPr>
                <w:color w:val="000000"/>
                <w:sz w:val="18"/>
                <w:szCs w:val="18"/>
              </w:rPr>
              <w:t>Not currently mined</w:t>
            </w:r>
          </w:p>
        </w:tc>
        <w:tc>
          <w:tcPr>
            <w:tcW w:w="1980" w:type="dxa"/>
            <w:shd w:val="clear" w:color="auto" w:fill="auto"/>
            <w:vAlign w:val="center"/>
            <w:hideMark/>
          </w:tcPr>
          <w:p w:rsidRPr="00F607B3" w:rsidR="00F607B3" w:rsidP="00F607B3" w:rsidRDefault="00F607B3" w14:paraId="0E9DA2E4" w14:textId="77777777">
            <w:pPr>
              <w:contextualSpacing w:val="0"/>
              <w:jc w:val="center"/>
              <w:rPr>
                <w:color w:val="000000"/>
                <w:sz w:val="18"/>
                <w:szCs w:val="18"/>
              </w:rPr>
            </w:pPr>
            <w:r w:rsidRPr="00F607B3">
              <w:rPr>
                <w:color w:val="000000"/>
                <w:sz w:val="18"/>
                <w:szCs w:val="18"/>
              </w:rPr>
              <w:t xml:space="preserve">NA </w:t>
            </w:r>
          </w:p>
        </w:tc>
      </w:tr>
      <w:tr w:rsidRPr="00F607B3" w:rsidR="00F607B3" w:rsidTr="00F607B3" w14:paraId="7E386232" w14:textId="77777777">
        <w:trPr>
          <w:trHeight w:val="300"/>
        </w:trPr>
        <w:tc>
          <w:tcPr>
            <w:tcW w:w="5020" w:type="dxa"/>
            <w:shd w:val="clear" w:color="auto" w:fill="auto"/>
            <w:vAlign w:val="center"/>
            <w:hideMark/>
          </w:tcPr>
          <w:p w:rsidRPr="00F607B3" w:rsidR="00F607B3" w:rsidP="00F607B3" w:rsidRDefault="00F607B3" w14:paraId="2B1D7B3B" w14:textId="77777777">
            <w:pPr>
              <w:contextualSpacing w:val="0"/>
              <w:rPr>
                <w:color w:val="000000"/>
                <w:sz w:val="18"/>
                <w:szCs w:val="18"/>
              </w:rPr>
            </w:pPr>
            <w:r w:rsidRPr="00F607B3">
              <w:rPr>
                <w:color w:val="000000"/>
                <w:sz w:val="18"/>
                <w:szCs w:val="18"/>
              </w:rPr>
              <w:t>Virtual Machine</w:t>
            </w:r>
          </w:p>
        </w:tc>
        <w:tc>
          <w:tcPr>
            <w:tcW w:w="2560" w:type="dxa"/>
            <w:shd w:val="clear" w:color="auto" w:fill="auto"/>
            <w:vAlign w:val="center"/>
            <w:hideMark/>
          </w:tcPr>
          <w:p w:rsidRPr="00F607B3" w:rsidR="00F607B3" w:rsidP="00F607B3" w:rsidRDefault="00F607B3" w14:paraId="250D4A19" w14:textId="77777777">
            <w:pPr>
              <w:contextualSpacing w:val="0"/>
              <w:rPr>
                <w:color w:val="000000"/>
                <w:sz w:val="18"/>
                <w:szCs w:val="18"/>
              </w:rPr>
            </w:pPr>
            <w:r w:rsidRPr="00F607B3">
              <w:rPr>
                <w:color w:val="000000"/>
                <w:sz w:val="18"/>
                <w:szCs w:val="18"/>
              </w:rPr>
              <w:t>Client</w:t>
            </w:r>
          </w:p>
        </w:tc>
        <w:tc>
          <w:tcPr>
            <w:tcW w:w="1980" w:type="dxa"/>
            <w:shd w:val="clear" w:color="auto" w:fill="auto"/>
            <w:vAlign w:val="center"/>
            <w:hideMark/>
          </w:tcPr>
          <w:p w:rsidRPr="00F607B3" w:rsidR="00F607B3" w:rsidP="00F607B3" w:rsidRDefault="00F607B3" w14:paraId="09E05563" w14:textId="77777777">
            <w:pPr>
              <w:contextualSpacing w:val="0"/>
              <w:jc w:val="center"/>
              <w:rPr>
                <w:color w:val="000000"/>
                <w:sz w:val="18"/>
                <w:szCs w:val="18"/>
              </w:rPr>
            </w:pPr>
            <w:r w:rsidRPr="00F607B3">
              <w:rPr>
                <w:color w:val="000000"/>
                <w:sz w:val="18"/>
                <w:szCs w:val="18"/>
              </w:rPr>
              <w:t>Backup</w:t>
            </w:r>
          </w:p>
        </w:tc>
      </w:tr>
      <w:tr w:rsidRPr="00F607B3" w:rsidR="00F607B3" w:rsidTr="00F607B3" w14:paraId="24BA215D" w14:textId="77777777">
        <w:trPr>
          <w:trHeight w:val="600"/>
        </w:trPr>
        <w:tc>
          <w:tcPr>
            <w:tcW w:w="5020" w:type="dxa"/>
            <w:shd w:val="clear" w:color="auto" w:fill="auto"/>
            <w:vAlign w:val="center"/>
            <w:hideMark/>
          </w:tcPr>
          <w:p w:rsidRPr="00F607B3" w:rsidR="00F607B3" w:rsidP="00F607B3" w:rsidRDefault="00F607B3" w14:paraId="541C10F3" w14:textId="77777777">
            <w:pPr>
              <w:contextualSpacing w:val="0"/>
              <w:rPr>
                <w:color w:val="000000"/>
                <w:sz w:val="18"/>
                <w:szCs w:val="18"/>
              </w:rPr>
            </w:pPr>
            <w:r w:rsidRPr="00F607B3">
              <w:rPr>
                <w:color w:val="000000"/>
                <w:sz w:val="18"/>
                <w:szCs w:val="18"/>
              </w:rPr>
              <w:t xml:space="preserve">Virtual Machine (as Content of </w:t>
            </w:r>
            <w:proofErr w:type="spellStart"/>
            <w:r w:rsidRPr="00F607B3">
              <w:rPr>
                <w:color w:val="000000"/>
                <w:sz w:val="18"/>
                <w:szCs w:val="18"/>
              </w:rPr>
              <w:t>of</w:t>
            </w:r>
            <w:proofErr w:type="spellEnd"/>
            <w:r w:rsidRPr="00F607B3">
              <w:rPr>
                <w:color w:val="000000"/>
                <w:sz w:val="18"/>
                <w:szCs w:val="18"/>
              </w:rPr>
              <w:t xml:space="preserve"> Subclient)</w:t>
            </w:r>
          </w:p>
        </w:tc>
        <w:tc>
          <w:tcPr>
            <w:tcW w:w="2560" w:type="dxa"/>
            <w:shd w:val="clear" w:color="auto" w:fill="auto"/>
            <w:vAlign w:val="center"/>
            <w:hideMark/>
          </w:tcPr>
          <w:p w:rsidRPr="00F607B3" w:rsidR="00F607B3" w:rsidP="00F607B3" w:rsidRDefault="00F607B3" w14:paraId="53C30C9F" w14:textId="77777777">
            <w:pPr>
              <w:contextualSpacing w:val="0"/>
              <w:rPr>
                <w:color w:val="000000"/>
                <w:sz w:val="18"/>
                <w:szCs w:val="18"/>
              </w:rPr>
            </w:pPr>
            <w:r w:rsidRPr="00F607B3">
              <w:rPr>
                <w:color w:val="000000"/>
                <w:sz w:val="18"/>
                <w:szCs w:val="18"/>
              </w:rPr>
              <w:t>Not mined in Policy data</w:t>
            </w:r>
          </w:p>
        </w:tc>
        <w:tc>
          <w:tcPr>
            <w:tcW w:w="1980" w:type="dxa"/>
            <w:shd w:val="clear" w:color="auto" w:fill="auto"/>
            <w:vAlign w:val="center"/>
            <w:hideMark/>
          </w:tcPr>
          <w:p w:rsidRPr="00F607B3" w:rsidR="00F607B3" w:rsidP="00F607B3" w:rsidRDefault="00F607B3" w14:paraId="7CC82180" w14:textId="77777777">
            <w:pPr>
              <w:contextualSpacing w:val="0"/>
              <w:jc w:val="center"/>
              <w:rPr>
                <w:color w:val="000000"/>
                <w:sz w:val="18"/>
                <w:szCs w:val="18"/>
              </w:rPr>
            </w:pPr>
            <w:r w:rsidRPr="00F607B3">
              <w:rPr>
                <w:color w:val="000000"/>
                <w:sz w:val="18"/>
                <w:szCs w:val="18"/>
              </w:rPr>
              <w:t>(needed in Policy mining)</w:t>
            </w:r>
          </w:p>
        </w:tc>
      </w:tr>
      <w:tr w:rsidRPr="00F607B3" w:rsidR="00F607B3" w:rsidTr="00F607B3" w14:paraId="24FF9FEF" w14:textId="77777777">
        <w:trPr>
          <w:trHeight w:val="1200"/>
        </w:trPr>
        <w:tc>
          <w:tcPr>
            <w:tcW w:w="5020" w:type="dxa"/>
            <w:shd w:val="clear" w:color="auto" w:fill="auto"/>
            <w:vAlign w:val="center"/>
            <w:hideMark/>
          </w:tcPr>
          <w:p w:rsidRPr="00F607B3" w:rsidR="00F607B3" w:rsidP="00F607B3" w:rsidRDefault="00F607B3" w14:paraId="139EBBFD" w14:textId="060C0818">
            <w:pPr>
              <w:contextualSpacing w:val="0"/>
              <w:rPr>
                <w:color w:val="000000"/>
                <w:sz w:val="18"/>
                <w:szCs w:val="18"/>
              </w:rPr>
            </w:pPr>
            <w:r w:rsidRPr="00F607B3">
              <w:rPr>
                <w:color w:val="000000"/>
                <w:sz w:val="18"/>
                <w:szCs w:val="18"/>
              </w:rPr>
              <w:t>“</w:t>
            </w:r>
            <w:r w:rsidRPr="00F607B3">
              <w:rPr>
                <w:i/>
                <w:iCs/>
                <w:color w:val="000000"/>
                <w:sz w:val="18"/>
                <w:szCs w:val="18"/>
              </w:rPr>
              <w:t>Client Name\Backup Set Name\Subclient Name</w:t>
            </w:r>
            <w:r w:rsidRPr="00F607B3">
              <w:rPr>
                <w:color w:val="000000"/>
                <w:sz w:val="18"/>
                <w:szCs w:val="18"/>
              </w:rPr>
              <w:t>” (for FS clients); “</w:t>
            </w:r>
            <w:r w:rsidRPr="00F607B3">
              <w:rPr>
                <w:i/>
                <w:iCs/>
                <w:color w:val="000000"/>
                <w:sz w:val="18"/>
                <w:szCs w:val="18"/>
              </w:rPr>
              <w:t>Client Name\Instance Name\Backup Set Name\Subclient Name</w:t>
            </w:r>
            <w:r w:rsidRPr="00F607B3">
              <w:rPr>
                <w:color w:val="000000"/>
                <w:sz w:val="18"/>
                <w:szCs w:val="18"/>
              </w:rPr>
              <w:t>” (for Virtual clients)</w:t>
            </w:r>
          </w:p>
        </w:tc>
        <w:tc>
          <w:tcPr>
            <w:tcW w:w="2560" w:type="dxa"/>
            <w:shd w:val="clear" w:color="auto" w:fill="auto"/>
            <w:vAlign w:val="center"/>
            <w:hideMark/>
          </w:tcPr>
          <w:p w:rsidRPr="00F607B3" w:rsidR="00F607B3" w:rsidP="00F607B3" w:rsidRDefault="00F607B3" w14:paraId="4B9E8C29" w14:textId="77777777">
            <w:pPr>
              <w:contextualSpacing w:val="0"/>
              <w:rPr>
                <w:color w:val="1E1E1E"/>
                <w:sz w:val="18"/>
                <w:szCs w:val="18"/>
              </w:rPr>
            </w:pPr>
            <w:r w:rsidRPr="00F607B3">
              <w:rPr>
                <w:color w:val="1E1E1E"/>
                <w:sz w:val="18"/>
                <w:szCs w:val="18"/>
              </w:rPr>
              <w:t>Job Group</w:t>
            </w:r>
          </w:p>
        </w:tc>
        <w:tc>
          <w:tcPr>
            <w:tcW w:w="1980" w:type="dxa"/>
            <w:shd w:val="clear" w:color="auto" w:fill="auto"/>
            <w:vAlign w:val="center"/>
            <w:hideMark/>
          </w:tcPr>
          <w:p w:rsidRPr="00F607B3" w:rsidR="00F607B3" w:rsidP="00F607B3" w:rsidRDefault="00F607B3" w14:paraId="1C73E407" w14:textId="77777777">
            <w:pPr>
              <w:contextualSpacing w:val="0"/>
              <w:jc w:val="center"/>
              <w:rPr>
                <w:color w:val="000000"/>
                <w:sz w:val="18"/>
                <w:szCs w:val="18"/>
              </w:rPr>
            </w:pPr>
            <w:r w:rsidRPr="00F607B3">
              <w:rPr>
                <w:color w:val="000000"/>
                <w:sz w:val="18"/>
                <w:szCs w:val="18"/>
              </w:rPr>
              <w:t>Backup and Policy</w:t>
            </w:r>
          </w:p>
        </w:tc>
      </w:tr>
      <w:tr w:rsidRPr="00F607B3" w:rsidR="00F607B3" w:rsidTr="00F607B3" w14:paraId="428FED73" w14:textId="77777777">
        <w:trPr>
          <w:trHeight w:val="300"/>
        </w:trPr>
        <w:tc>
          <w:tcPr>
            <w:tcW w:w="5020" w:type="dxa"/>
            <w:shd w:val="clear" w:color="auto" w:fill="auto"/>
            <w:vAlign w:val="center"/>
            <w:hideMark/>
          </w:tcPr>
          <w:p w:rsidRPr="00F607B3" w:rsidR="00F607B3" w:rsidP="00F607B3" w:rsidRDefault="00F607B3" w14:paraId="7DA760EC" w14:textId="77777777">
            <w:pPr>
              <w:contextualSpacing w:val="0"/>
              <w:rPr>
                <w:color w:val="1E1E1E"/>
                <w:sz w:val="18"/>
                <w:szCs w:val="18"/>
              </w:rPr>
            </w:pPr>
            <w:r w:rsidRPr="00F607B3">
              <w:rPr>
                <w:color w:val="1E1E1E"/>
                <w:sz w:val="18"/>
                <w:szCs w:val="18"/>
              </w:rPr>
              <w:t>CommVault Server</w:t>
            </w:r>
          </w:p>
        </w:tc>
        <w:tc>
          <w:tcPr>
            <w:tcW w:w="2560" w:type="dxa"/>
            <w:shd w:val="clear" w:color="auto" w:fill="auto"/>
            <w:vAlign w:val="center"/>
            <w:hideMark/>
          </w:tcPr>
          <w:p w:rsidRPr="00F607B3" w:rsidR="00F607B3" w:rsidP="00F607B3" w:rsidRDefault="00F607B3" w14:paraId="193E3A6B" w14:textId="77777777">
            <w:pPr>
              <w:contextualSpacing w:val="0"/>
              <w:rPr>
                <w:color w:val="1E1E1E"/>
                <w:sz w:val="18"/>
                <w:szCs w:val="18"/>
              </w:rPr>
            </w:pPr>
            <w:r w:rsidRPr="00F607B3">
              <w:rPr>
                <w:color w:val="1E1E1E"/>
                <w:sz w:val="18"/>
                <w:szCs w:val="18"/>
              </w:rPr>
              <w:t>Backup Server</w:t>
            </w:r>
          </w:p>
        </w:tc>
        <w:tc>
          <w:tcPr>
            <w:tcW w:w="1980" w:type="dxa"/>
            <w:shd w:val="clear" w:color="auto" w:fill="auto"/>
            <w:vAlign w:val="center"/>
            <w:hideMark/>
          </w:tcPr>
          <w:p w:rsidRPr="00F607B3" w:rsidR="00F607B3" w:rsidP="00F607B3" w:rsidRDefault="00F607B3" w14:paraId="0353D7F1" w14:textId="77777777">
            <w:pPr>
              <w:contextualSpacing w:val="0"/>
              <w:jc w:val="center"/>
              <w:rPr>
                <w:color w:val="000000"/>
                <w:sz w:val="18"/>
                <w:szCs w:val="18"/>
              </w:rPr>
            </w:pPr>
            <w:r w:rsidRPr="00F607B3">
              <w:rPr>
                <w:color w:val="000000"/>
                <w:sz w:val="18"/>
                <w:szCs w:val="18"/>
              </w:rPr>
              <w:t>Backup and Policy</w:t>
            </w:r>
          </w:p>
        </w:tc>
      </w:tr>
      <w:tr w:rsidRPr="00F607B3" w:rsidR="00F607B3" w:rsidTr="00F607B3" w14:paraId="488BC9DB" w14:textId="77777777">
        <w:trPr>
          <w:trHeight w:val="300"/>
        </w:trPr>
        <w:tc>
          <w:tcPr>
            <w:tcW w:w="5020" w:type="dxa"/>
            <w:shd w:val="clear" w:color="auto" w:fill="auto"/>
            <w:vAlign w:val="center"/>
            <w:hideMark/>
          </w:tcPr>
          <w:p w:rsidRPr="00F607B3" w:rsidR="00F607B3" w:rsidP="00F607B3" w:rsidRDefault="00F607B3" w14:paraId="269537C3" w14:textId="77777777">
            <w:pPr>
              <w:contextualSpacing w:val="0"/>
              <w:rPr>
                <w:color w:val="1E1E1E"/>
                <w:sz w:val="18"/>
                <w:szCs w:val="18"/>
              </w:rPr>
            </w:pPr>
            <w:r w:rsidRPr="00F607B3">
              <w:rPr>
                <w:color w:val="1E1E1E"/>
                <w:sz w:val="18"/>
                <w:szCs w:val="18"/>
              </w:rPr>
              <w:t>CommVault Client</w:t>
            </w:r>
          </w:p>
        </w:tc>
        <w:tc>
          <w:tcPr>
            <w:tcW w:w="2560" w:type="dxa"/>
            <w:shd w:val="clear" w:color="auto" w:fill="auto"/>
            <w:vAlign w:val="center"/>
            <w:hideMark/>
          </w:tcPr>
          <w:p w:rsidRPr="00F607B3" w:rsidR="00F607B3" w:rsidP="00F607B3" w:rsidRDefault="00F607B3" w14:paraId="4588FC4C" w14:textId="77777777">
            <w:pPr>
              <w:contextualSpacing w:val="0"/>
              <w:rPr>
                <w:color w:val="1E1E1E"/>
                <w:sz w:val="18"/>
                <w:szCs w:val="18"/>
              </w:rPr>
            </w:pPr>
            <w:r w:rsidRPr="00F607B3">
              <w:rPr>
                <w:color w:val="1E1E1E"/>
                <w:sz w:val="18"/>
                <w:szCs w:val="18"/>
              </w:rPr>
              <w:t>Client</w:t>
            </w:r>
          </w:p>
        </w:tc>
        <w:tc>
          <w:tcPr>
            <w:tcW w:w="1980" w:type="dxa"/>
            <w:shd w:val="clear" w:color="auto" w:fill="auto"/>
            <w:vAlign w:val="center"/>
            <w:hideMark/>
          </w:tcPr>
          <w:p w:rsidRPr="00F607B3" w:rsidR="00F607B3" w:rsidP="00F607B3" w:rsidRDefault="00F607B3" w14:paraId="3343BBE3" w14:textId="77777777">
            <w:pPr>
              <w:contextualSpacing w:val="0"/>
              <w:jc w:val="center"/>
              <w:rPr>
                <w:color w:val="000000"/>
                <w:sz w:val="18"/>
                <w:szCs w:val="18"/>
              </w:rPr>
            </w:pPr>
            <w:r w:rsidRPr="00F607B3">
              <w:rPr>
                <w:color w:val="000000"/>
                <w:sz w:val="18"/>
                <w:szCs w:val="18"/>
              </w:rPr>
              <w:t>Backup and Policy</w:t>
            </w:r>
          </w:p>
        </w:tc>
      </w:tr>
      <w:tr w:rsidRPr="00F607B3" w:rsidR="00F607B3" w:rsidTr="00F607B3" w14:paraId="09EA9A68" w14:textId="77777777">
        <w:trPr>
          <w:trHeight w:val="900"/>
        </w:trPr>
        <w:tc>
          <w:tcPr>
            <w:tcW w:w="5020" w:type="dxa"/>
            <w:shd w:val="clear" w:color="auto" w:fill="auto"/>
            <w:vAlign w:val="center"/>
            <w:hideMark/>
          </w:tcPr>
          <w:p w:rsidRPr="00F607B3" w:rsidR="00F607B3" w:rsidP="00F607B3" w:rsidRDefault="00F607B3" w14:paraId="35CBC0F5" w14:textId="35A3DA48">
            <w:pPr>
              <w:contextualSpacing w:val="0"/>
              <w:rPr>
                <w:color w:val="000000"/>
                <w:sz w:val="18"/>
                <w:szCs w:val="18"/>
              </w:rPr>
            </w:pPr>
            <w:r w:rsidRPr="00F607B3">
              <w:rPr>
                <w:color w:val="000000"/>
                <w:sz w:val="18"/>
                <w:szCs w:val="18"/>
              </w:rPr>
              <w:t>“</w:t>
            </w:r>
            <w:r w:rsidRPr="00F607B3">
              <w:rPr>
                <w:i/>
                <w:iCs/>
                <w:color w:val="000000"/>
                <w:sz w:val="18"/>
                <w:szCs w:val="18"/>
              </w:rPr>
              <w:t>Subclient Name</w:t>
            </w:r>
            <w:r w:rsidRPr="00F607B3">
              <w:rPr>
                <w:color w:val="000000"/>
                <w:sz w:val="18"/>
                <w:szCs w:val="18"/>
              </w:rPr>
              <w:t>” (for FS clients); “</w:t>
            </w:r>
            <w:r w:rsidRPr="00F607B3">
              <w:rPr>
                <w:i/>
                <w:iCs/>
                <w:color w:val="000000"/>
                <w:sz w:val="18"/>
                <w:szCs w:val="18"/>
              </w:rPr>
              <w:t>Client Name\Instance Name\Client Name</w:t>
            </w:r>
            <w:r w:rsidRPr="00F607B3">
              <w:rPr>
                <w:color w:val="000000"/>
                <w:sz w:val="18"/>
                <w:szCs w:val="18"/>
              </w:rPr>
              <w:t>” (for Virtual clients)</w:t>
            </w:r>
          </w:p>
        </w:tc>
        <w:tc>
          <w:tcPr>
            <w:tcW w:w="2560" w:type="dxa"/>
            <w:shd w:val="clear" w:color="auto" w:fill="auto"/>
            <w:vAlign w:val="center"/>
            <w:hideMark/>
          </w:tcPr>
          <w:p w:rsidRPr="00F607B3" w:rsidR="00F607B3" w:rsidP="00F607B3" w:rsidRDefault="00F607B3" w14:paraId="64B64E25" w14:textId="77777777">
            <w:pPr>
              <w:contextualSpacing w:val="0"/>
              <w:rPr>
                <w:color w:val="1E1E1E"/>
                <w:sz w:val="18"/>
                <w:szCs w:val="18"/>
              </w:rPr>
            </w:pPr>
            <w:r w:rsidRPr="00F607B3">
              <w:rPr>
                <w:color w:val="1E1E1E"/>
                <w:sz w:val="18"/>
                <w:szCs w:val="18"/>
              </w:rPr>
              <w:t>"Target" or "Protected Targets"</w:t>
            </w:r>
          </w:p>
        </w:tc>
        <w:tc>
          <w:tcPr>
            <w:tcW w:w="1980" w:type="dxa"/>
            <w:shd w:val="clear" w:color="auto" w:fill="auto"/>
            <w:vAlign w:val="center"/>
            <w:hideMark/>
          </w:tcPr>
          <w:p w:rsidRPr="00F607B3" w:rsidR="00F607B3" w:rsidP="00F607B3" w:rsidRDefault="00F607B3" w14:paraId="40E0C4CC" w14:textId="77777777">
            <w:pPr>
              <w:contextualSpacing w:val="0"/>
              <w:jc w:val="center"/>
              <w:rPr>
                <w:color w:val="000000"/>
                <w:sz w:val="18"/>
                <w:szCs w:val="18"/>
              </w:rPr>
            </w:pPr>
            <w:r w:rsidRPr="00F607B3">
              <w:rPr>
                <w:color w:val="000000"/>
                <w:sz w:val="18"/>
                <w:szCs w:val="18"/>
              </w:rPr>
              <w:t>Backup and Policy</w:t>
            </w:r>
          </w:p>
        </w:tc>
      </w:tr>
      <w:tr w:rsidRPr="00F607B3" w:rsidR="00F607B3" w:rsidTr="00F607B3" w14:paraId="749D67C7" w14:textId="77777777">
        <w:trPr>
          <w:trHeight w:val="1500"/>
        </w:trPr>
        <w:tc>
          <w:tcPr>
            <w:tcW w:w="5020" w:type="dxa"/>
            <w:shd w:val="clear" w:color="auto" w:fill="auto"/>
            <w:vAlign w:val="center"/>
            <w:hideMark/>
          </w:tcPr>
          <w:p w:rsidRPr="00F607B3" w:rsidR="00F607B3" w:rsidP="00F607B3" w:rsidRDefault="00F607B3" w14:paraId="08324886" w14:textId="7CF44513">
            <w:pPr>
              <w:contextualSpacing w:val="0"/>
              <w:rPr>
                <w:color w:val="1E1E1E"/>
                <w:sz w:val="18"/>
                <w:szCs w:val="18"/>
              </w:rPr>
            </w:pPr>
            <w:r w:rsidRPr="00F607B3">
              <w:rPr>
                <w:color w:val="1E1E1E"/>
                <w:sz w:val="18"/>
                <w:szCs w:val="18"/>
              </w:rPr>
              <w:t>“</w:t>
            </w:r>
            <w:r w:rsidRPr="00F607B3">
              <w:rPr>
                <w:i/>
                <w:iCs/>
                <w:color w:val="1E1E1E"/>
                <w:sz w:val="18"/>
                <w:szCs w:val="18"/>
              </w:rPr>
              <w:t>schedule policy name – schedule pattern, schedule backup type, schedule task, schedule backup day and schedule ID</w:t>
            </w:r>
            <w:r w:rsidRPr="00F607B3">
              <w:rPr>
                <w:color w:val="1E1E1E"/>
                <w:sz w:val="18"/>
                <w:szCs w:val="18"/>
              </w:rPr>
              <w:t>” (If there is no schedule name); “</w:t>
            </w:r>
            <w:r w:rsidRPr="00F607B3">
              <w:rPr>
                <w:i/>
                <w:iCs/>
                <w:color w:val="1E1E1E"/>
                <w:sz w:val="18"/>
                <w:szCs w:val="18"/>
              </w:rPr>
              <w:t>schedule policy name – schedule name, schedule backup day and schedule ID</w:t>
            </w:r>
            <w:r w:rsidRPr="00F607B3">
              <w:rPr>
                <w:color w:val="1E1E1E"/>
                <w:sz w:val="18"/>
                <w:szCs w:val="18"/>
              </w:rPr>
              <w:t>”</w:t>
            </w:r>
          </w:p>
        </w:tc>
        <w:tc>
          <w:tcPr>
            <w:tcW w:w="2560" w:type="dxa"/>
            <w:shd w:val="clear" w:color="auto" w:fill="auto"/>
            <w:vAlign w:val="center"/>
            <w:hideMark/>
          </w:tcPr>
          <w:p w:rsidRPr="00F607B3" w:rsidR="00F607B3" w:rsidP="00F607B3" w:rsidRDefault="00F607B3" w14:paraId="0C14EDC3" w14:textId="77777777">
            <w:pPr>
              <w:contextualSpacing w:val="0"/>
              <w:rPr>
                <w:color w:val="1E1E1E"/>
                <w:sz w:val="18"/>
                <w:szCs w:val="18"/>
              </w:rPr>
            </w:pPr>
            <w:r w:rsidRPr="00F607B3">
              <w:rPr>
                <w:color w:val="1E1E1E"/>
                <w:sz w:val="18"/>
                <w:szCs w:val="18"/>
              </w:rPr>
              <w:t xml:space="preserve">Policy Name </w:t>
            </w:r>
          </w:p>
        </w:tc>
        <w:tc>
          <w:tcPr>
            <w:tcW w:w="1980" w:type="dxa"/>
            <w:shd w:val="clear" w:color="auto" w:fill="auto"/>
            <w:vAlign w:val="center"/>
            <w:hideMark/>
          </w:tcPr>
          <w:p w:rsidRPr="00F607B3" w:rsidR="00F607B3" w:rsidP="00F607B3" w:rsidRDefault="00F607B3" w14:paraId="19F20458" w14:textId="77777777">
            <w:pPr>
              <w:contextualSpacing w:val="0"/>
              <w:jc w:val="center"/>
              <w:rPr>
                <w:color w:val="000000"/>
                <w:sz w:val="18"/>
                <w:szCs w:val="18"/>
              </w:rPr>
            </w:pPr>
            <w:r w:rsidRPr="00F607B3">
              <w:rPr>
                <w:color w:val="000000"/>
                <w:sz w:val="18"/>
                <w:szCs w:val="18"/>
              </w:rPr>
              <w:t>Policy Mining</w:t>
            </w:r>
          </w:p>
        </w:tc>
      </w:tr>
      <w:tr w:rsidRPr="00F607B3" w:rsidR="00F607B3" w:rsidTr="00F607B3" w14:paraId="1F2EF75D" w14:textId="77777777">
        <w:trPr>
          <w:trHeight w:val="300"/>
        </w:trPr>
        <w:tc>
          <w:tcPr>
            <w:tcW w:w="5020" w:type="dxa"/>
            <w:shd w:val="clear" w:color="auto" w:fill="auto"/>
            <w:vAlign w:val="center"/>
            <w:hideMark/>
          </w:tcPr>
          <w:p w:rsidRPr="00F607B3" w:rsidR="00F607B3" w:rsidP="00F607B3" w:rsidRDefault="00F607B3" w14:paraId="55A325E4" w14:textId="77777777">
            <w:pPr>
              <w:contextualSpacing w:val="0"/>
              <w:rPr>
                <w:color w:val="1E1E1E"/>
                <w:sz w:val="18"/>
                <w:szCs w:val="18"/>
              </w:rPr>
            </w:pPr>
            <w:r w:rsidRPr="00F607B3">
              <w:rPr>
                <w:color w:val="1E1E1E"/>
                <w:sz w:val="18"/>
                <w:szCs w:val="18"/>
              </w:rPr>
              <w:t>Job ID</w:t>
            </w:r>
          </w:p>
        </w:tc>
        <w:tc>
          <w:tcPr>
            <w:tcW w:w="2560" w:type="dxa"/>
            <w:shd w:val="clear" w:color="auto" w:fill="auto"/>
            <w:vAlign w:val="center"/>
            <w:hideMark/>
          </w:tcPr>
          <w:p w:rsidRPr="00F607B3" w:rsidR="00F607B3" w:rsidP="00F607B3" w:rsidRDefault="00F607B3" w14:paraId="6EF18B8B" w14:textId="77777777">
            <w:pPr>
              <w:contextualSpacing w:val="0"/>
              <w:rPr>
                <w:color w:val="1E1E1E"/>
                <w:sz w:val="18"/>
                <w:szCs w:val="18"/>
              </w:rPr>
            </w:pPr>
            <w:r w:rsidRPr="00F607B3">
              <w:rPr>
                <w:color w:val="1E1E1E"/>
                <w:sz w:val="18"/>
                <w:szCs w:val="18"/>
              </w:rPr>
              <w:t>Description</w:t>
            </w:r>
          </w:p>
        </w:tc>
        <w:tc>
          <w:tcPr>
            <w:tcW w:w="1980" w:type="dxa"/>
            <w:shd w:val="clear" w:color="auto" w:fill="auto"/>
            <w:vAlign w:val="center"/>
            <w:hideMark/>
          </w:tcPr>
          <w:p w:rsidRPr="00F607B3" w:rsidR="00F607B3" w:rsidP="00F607B3" w:rsidRDefault="00F607B3" w14:paraId="43834D08" w14:textId="77777777">
            <w:pPr>
              <w:contextualSpacing w:val="0"/>
              <w:jc w:val="center"/>
              <w:rPr>
                <w:color w:val="000000"/>
                <w:sz w:val="18"/>
                <w:szCs w:val="18"/>
              </w:rPr>
            </w:pPr>
            <w:r w:rsidRPr="00F607B3">
              <w:rPr>
                <w:color w:val="000000"/>
                <w:sz w:val="18"/>
                <w:szCs w:val="18"/>
              </w:rPr>
              <w:t>Backup Job</w:t>
            </w:r>
          </w:p>
        </w:tc>
      </w:tr>
    </w:tbl>
    <w:p w:rsidR="00F607B3" w:rsidP="007B7219" w:rsidRDefault="00F607B3" w14:paraId="702A53E6" w14:textId="77777777">
      <w:pPr>
        <w:rPr>
          <w:rFonts w:eastAsiaTheme="majorEastAsia"/>
        </w:rPr>
      </w:pPr>
    </w:p>
    <w:p w:rsidR="007B7219" w:rsidP="007B7219" w:rsidRDefault="007B7219" w14:paraId="6F6302B4" w14:textId="77777777"/>
    <w:p w:rsidRPr="007B7219" w:rsidR="007B7219" w:rsidP="007B7219" w:rsidRDefault="007B7219" w14:paraId="566BD6B4" w14:textId="77777777"/>
    <w:p w:rsidR="00D2360A" w:rsidP="004F6334" w:rsidRDefault="00D2360A" w14:paraId="469AA1A0" w14:textId="77777777" w14:noSpellErr="1">
      <w:pPr>
        <w:pStyle w:val="Heading1"/>
        <w:sectPr w:rsidR="00D2360A" w:rsidSect="00943457">
          <w:footerReference w:type="default" r:id="rId13"/>
          <w:pgSz w:w="12240" w:h="15840" w:orient="portrait"/>
          <w:pgMar w:top="1440" w:right="1440" w:bottom="1440" w:left="1440" w:header="720" w:footer="720" w:gutter="0"/>
          <w:cols w:space="720"/>
          <w:titlePg/>
          <w:docGrid w:linePitch="360"/>
        </w:sectPr>
      </w:pPr>
    </w:p>
    <w:p w:rsidR="004F6334" w:rsidP="004F6334" w:rsidRDefault="004F6334" w14:paraId="4ECB8923" w14:textId="03A75CAA" w14:noSpellErr="1">
      <w:pPr>
        <w:pStyle w:val="Heading1"/>
      </w:pPr>
      <w:bookmarkStart w:name="_Toc1854445477" w:id="850340213"/>
      <w:r w:rsidR="004F6334">
        <w:rPr/>
        <w:t>Technical Support</w:t>
      </w:r>
      <w:bookmarkEnd w:id="850340213"/>
    </w:p>
    <w:p w:rsidR="00710860" w:rsidP="004F6334" w:rsidRDefault="00710860" w14:paraId="2C8B33E6" w14:textId="40B5CF68">
      <w:pPr>
        <w:spacing w:after="200"/>
        <w:contextualSpacing w:val="0"/>
        <w:rPr>
          <w:rFonts w:cstheme="minorHAnsi"/>
          <w:szCs w:val="22"/>
        </w:rPr>
      </w:pPr>
      <w:r>
        <w:rPr>
          <w:rFonts w:cstheme="minorHAnsi"/>
          <w:szCs w:val="22"/>
        </w:rPr>
        <w:t>For technical support or a copy of our standard support agreement, please contact us.</w:t>
      </w:r>
    </w:p>
    <w:p w:rsidR="00710860" w:rsidP="00710860" w:rsidRDefault="00710860" w14:paraId="7352C06A" w14:textId="77777777">
      <w:pPr>
        <w:rPr>
          <w:rFonts w:cstheme="minorHAnsi"/>
          <w:szCs w:val="22"/>
        </w:rPr>
      </w:pPr>
    </w:p>
    <w:p w:rsidR="00710860" w:rsidP="00710860" w:rsidRDefault="00710860" w14:paraId="48AC95BF"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14">
        <w:r>
          <w:rPr>
            <w:rStyle w:val="Hyperlink"/>
            <w:rFonts w:cstheme="minorHAnsi"/>
            <w:szCs w:val="22"/>
          </w:rPr>
          <w:t>support@bocada.com</w:t>
        </w:r>
      </w:hyperlink>
    </w:p>
    <w:p w:rsidR="00710860" w:rsidP="64280B40" w:rsidRDefault="00710860" w14:paraId="4399A31F" w14:textId="4A550BE7">
      <w:pPr>
        <w:spacing w:line="276" w:lineRule="auto"/>
        <w:rPr>
          <w:rFonts w:cstheme="minorBidi"/>
        </w:rPr>
      </w:pPr>
      <w:r w:rsidRPr="64280B40">
        <w:rPr>
          <w:rFonts w:cstheme="minorBidi"/>
          <w:b/>
          <w:bCs/>
        </w:rPr>
        <w:t>Support Portal:</w:t>
      </w:r>
      <w:r w:rsidRPr="64280B40" w:rsidR="3AD394A6">
        <w:rPr>
          <w:rFonts w:cstheme="minorBidi"/>
          <w:b/>
          <w:bCs/>
        </w:rPr>
        <w:t xml:space="preserve"> </w:t>
      </w:r>
      <w:hyperlink r:id="rId15">
        <w:r w:rsidRPr="64280B40" w:rsidR="3AD394A6">
          <w:rPr>
            <w:rStyle w:val="Hyperlink"/>
            <w:rFonts w:ascii="Calibri" w:hAnsi="Calibri" w:eastAsia="Calibri" w:cs="Calibri"/>
            <w:szCs w:val="22"/>
          </w:rPr>
          <w:t>https://bocada-support.force.com</w:t>
        </w:r>
      </w:hyperlink>
    </w:p>
    <w:p w:rsidR="00710860" w:rsidP="64280B40" w:rsidRDefault="00710860" w14:paraId="2B04B12A" w14:textId="6048C336">
      <w:pPr>
        <w:spacing w:line="276" w:lineRule="auto"/>
        <w:rPr>
          <w:rFonts w:ascii="Calibri" w:hAnsi="Calibri" w:eastAsia="Calibri" w:cs="Calibri"/>
          <w:szCs w:val="22"/>
        </w:rPr>
      </w:pPr>
      <w:r w:rsidRPr="64280B40">
        <w:rPr>
          <w:rFonts w:cstheme="minorBidi"/>
          <w:b/>
          <w:bCs/>
        </w:rPr>
        <w:t>Phone:</w:t>
      </w:r>
      <w:r>
        <w:rPr>
          <w:rFonts w:cstheme="minorHAnsi"/>
          <w:szCs w:val="22"/>
        </w:rPr>
        <w:tab/>
      </w:r>
      <w:r>
        <w:rPr>
          <w:rFonts w:cstheme="minorHAnsi"/>
          <w:szCs w:val="22"/>
        </w:rPr>
        <w:tab/>
      </w:r>
      <w:r>
        <w:rPr>
          <w:rFonts w:cstheme="minorHAnsi"/>
          <w:szCs w:val="22"/>
        </w:rPr>
        <w:tab/>
      </w:r>
      <w:r w:rsidRPr="64280B40" w:rsidR="007F0451">
        <w:rPr>
          <w:rFonts w:cstheme="minorBidi"/>
        </w:rPr>
        <w:t>+1-425-898-2400</w:t>
      </w:r>
    </w:p>
    <w:p w:rsidRPr="009D0CF8" w:rsidR="008D0EA8" w:rsidP="005944EB" w:rsidRDefault="008D0EA8" w14:paraId="6BC2E1C2" w14:textId="77777777"/>
    <w:sectPr w:rsidRPr="009D0CF8" w:rsidR="008D0EA8" w:rsidSect="00943457">
      <w:footerReference w:type="first" r:id="rId16"/>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00E64" w:rsidP="00266DAC" w:rsidRDefault="00500E64" w14:paraId="21DE5821" w14:textId="77777777">
      <w:r>
        <w:separator/>
      </w:r>
    </w:p>
  </w:endnote>
  <w:endnote w:type="continuationSeparator" w:id="0">
    <w:p w:rsidR="00500E64" w:rsidP="00266DAC" w:rsidRDefault="00500E64" w14:paraId="798A421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BC50F0" w:rsidR="00266DAC" w:rsidP="00BC50F0" w:rsidRDefault="00023FDF" w14:paraId="5FB79076" w14:textId="2B2170B2">
    <w:pPr>
      <w:pStyle w:val="Footer"/>
      <w:jc w:val="both"/>
    </w:pPr>
    <w:sdt>
      <w:sdtPr>
        <w:id w:val="-229852993"/>
        <w:docPartObj>
          <w:docPartGallery w:val="Page Numbers (Bottom of Page)"/>
          <w:docPartUnique/>
        </w:docPartObj>
      </w:sdtPr>
      <w:sdtEndPr>
        <w:rPr>
          <w:noProof/>
        </w:rPr>
      </w:sdtEndPr>
      <w:sdtContent>
        <w:r w:rsidRPr="00BC50F0" w:rsidR="00BC50F0">
          <w:rPr>
            <w:rFonts w:cstheme="minorHAnsi"/>
            <w:sz w:val="18"/>
            <w:szCs w:val="18"/>
          </w:rPr>
          <w:fldChar w:fldCharType="begin"/>
        </w:r>
        <w:r w:rsidRPr="00BC50F0" w:rsidR="00BC50F0">
          <w:rPr>
            <w:rFonts w:cstheme="minorHAnsi"/>
            <w:sz w:val="18"/>
            <w:szCs w:val="18"/>
          </w:rPr>
          <w:instrText xml:space="preserve"> PAGE   \* MERGEFORMAT </w:instrText>
        </w:r>
        <w:r w:rsidRPr="00BC50F0" w:rsidR="00BC50F0">
          <w:rPr>
            <w:rFonts w:cstheme="minorHAnsi"/>
            <w:sz w:val="18"/>
            <w:szCs w:val="18"/>
          </w:rPr>
          <w:fldChar w:fldCharType="separate"/>
        </w:r>
        <w:r w:rsidR="0092244F">
          <w:rPr>
            <w:rFonts w:cstheme="minorHAnsi"/>
            <w:noProof/>
            <w:sz w:val="18"/>
            <w:szCs w:val="18"/>
          </w:rPr>
          <w:t>4</w:t>
        </w:r>
        <w:r w:rsidRPr="00BC50F0" w:rsidR="00BC50F0">
          <w:rPr>
            <w:rFonts w:cstheme="minorHAnsi"/>
            <w:noProof/>
            <w:sz w:val="18"/>
            <w:szCs w:val="18"/>
          </w:rPr>
          <w:fldChar w:fldCharType="end"/>
        </w:r>
      </w:sdtContent>
    </w:sdt>
    <w:r w:rsidR="00BC50F0">
      <w:tab/>
    </w:r>
    <w:r w:rsidR="00BC50F0">
      <w:tab/>
    </w:r>
    <w:r w:rsidR="0059551A">
      <w:rPr>
        <w:rFonts w:cstheme="minorHAnsi"/>
        <w:i/>
        <w:sz w:val="18"/>
        <w:szCs w:val="18"/>
      </w:rPr>
      <w:t>CommVault</w:t>
    </w:r>
    <w:r w:rsidR="00943457">
      <w:rPr>
        <w:rFonts w:cstheme="minorHAnsi"/>
        <w:i/>
        <w:sz w:val="18"/>
        <w:szCs w:val="18"/>
      </w:rPr>
      <w:t xml:space="preserve">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360A" w:rsidP="00D2360A" w:rsidRDefault="00D2360A" w14:paraId="3CCAEDD2" w14:textId="7DB76BDD">
    <w:pPr>
      <w:rPr>
        <w:rFonts w:ascii="Calibri" w:hAnsi="Calibri" w:cs="Calibri"/>
      </w:rPr>
    </w:pPr>
    <w:r w:rsidRPr="64280B40">
      <w:rPr>
        <w:rFonts w:ascii="Calibri" w:hAnsi="Calibri" w:cs="Calibri"/>
        <w:b/>
        <w:bCs/>
      </w:rPr>
      <w:t>Copyright © 202</w:t>
    </w:r>
    <w:r w:rsidR="00E51F9D">
      <w:rPr>
        <w:rFonts w:ascii="Calibri" w:hAnsi="Calibri" w:cs="Calibri"/>
        <w:b/>
        <w:bCs/>
      </w:rPr>
      <w:t>1</w:t>
    </w:r>
    <w:r w:rsidRPr="64280B40">
      <w:rPr>
        <w:rFonts w:ascii="Calibri" w:hAnsi="Calibri" w:cs="Calibri"/>
        <w:b/>
        <w:bCs/>
      </w:rPr>
      <w:t xml:space="preserve"> Bocada LLC. </w:t>
    </w:r>
    <w:r w:rsidRPr="64280B40">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00D2360A" w:rsidP="00D2360A" w:rsidRDefault="00D2360A" w14:paraId="50126AD4" w14:textId="77777777">
    <w:pPr>
      <w:rPr>
        <w:rFonts w:ascii="Calibri" w:hAnsi="Calibri" w:cs="Calibri"/>
        <w:sz w:val="24"/>
        <w:szCs w:val="22"/>
      </w:rPr>
    </w:pPr>
  </w:p>
  <w:p w:rsidR="00D2360A" w:rsidP="00D2360A" w:rsidRDefault="00D2360A" w14:paraId="6D99232D" w14:textId="77777777">
    <w:pPr>
      <w:rPr>
        <w:rFonts w:ascii="Calibri" w:hAnsi="Calibri" w:cs="Calibri"/>
        <w:szCs w:val="22"/>
      </w:rPr>
    </w:pPr>
    <w:r>
      <w:rPr>
        <w:rFonts w:ascii="Calibri" w:hAnsi="Calibri" w:cs="Calibri"/>
        <w:szCs w:val="22"/>
      </w:rPr>
      <w:t>Protected by U.S patents 6,640,217; 6,708,188; 6,745,210; 7,457,833; 7,469,264; 7,496,614; 8,407,227</w:t>
    </w:r>
  </w:p>
  <w:p w:rsidR="00D2360A" w:rsidP="00D2360A" w:rsidRDefault="00D2360A" w14:paraId="26E75F39" w14:textId="77777777">
    <w:pPr>
      <w:rPr>
        <w:rFonts w:ascii="Calibri" w:hAnsi="Calibri" w:cs="Calibri"/>
        <w:szCs w:val="22"/>
      </w:rPr>
    </w:pPr>
  </w:p>
  <w:p w:rsidR="00D2360A" w:rsidP="00D2360A" w:rsidRDefault="00D2360A" w14:paraId="153CDA83" w14:textId="77777777">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00D2360A" w:rsidP="00D2360A" w:rsidRDefault="00D2360A" w14:paraId="5A978E08" w14:textId="77777777">
    <w:pPr>
      <w:rPr>
        <w:rFonts w:ascii="Calibri" w:hAnsi="Calibri" w:cs="Calibri"/>
        <w:szCs w:val="22"/>
      </w:rPr>
    </w:pPr>
  </w:p>
  <w:p w:rsidR="00D2360A" w:rsidP="00D2360A" w:rsidRDefault="00D2360A" w14:paraId="0330BCD3" w14:textId="6829FF81">
    <w:pPr>
      <w:rPr>
        <w:rFonts w:ascii="Calibri" w:hAnsi="Calibri" w:cs="Calibri"/>
      </w:rPr>
    </w:pPr>
    <w:r w:rsidRPr="64280B40">
      <w:rPr>
        <w:rFonts w:ascii="Calibri" w:hAnsi="Calibri" w:cs="Calibri"/>
      </w:rPr>
      <w:t xml:space="preserve">Bocada LLC reserves the right to make changes in the product design and documentation without reservation and without notification to its users. </w:t>
    </w:r>
    <w:r>
      <w:rPr>
        <w:rFonts w:ascii="Calibri" w:hAnsi="Calibri" w:cs="Calibri"/>
      </w:rPr>
      <w:fldChar w:fldCharType="begin"/>
    </w:r>
    <w:r>
      <w:rPr>
        <w:rFonts w:ascii="Calibri" w:hAnsi="Calibri" w:cs="Calibri"/>
      </w:rPr>
      <w:instrText xml:space="preserve"> SAVEDATE  \@ "yyyy-MM-dd"  \* MERGEFORMAT </w:instrText>
    </w:r>
    <w:r>
      <w:rPr>
        <w:rFonts w:ascii="Calibri" w:hAnsi="Calibri" w:cs="Calibri"/>
      </w:rPr>
      <w:fldChar w:fldCharType="separate"/>
    </w:r>
    <w:r w:rsidR="00C14254">
      <w:rPr>
        <w:rFonts w:ascii="Calibri" w:hAnsi="Calibri" w:cs="Calibri"/>
        <w:noProof/>
      </w:rPr>
      <w:t>2021-02-11</w:t>
    </w:r>
    <w:r>
      <w:rPr>
        <w:rFonts w:ascii="Calibri" w:hAnsi="Calibri" w:cs="Calibri"/>
      </w:rPr>
      <w:fldChar w:fldCharType="end"/>
    </w:r>
  </w:p>
  <w:p w:rsidR="00D2360A" w:rsidRDefault="00D2360A" w14:paraId="3EF7A03C" w14:textId="7FC89E0D">
    <w:pPr>
      <w:pStyle w:val="Footer"/>
    </w:pPr>
  </w:p>
  <w:p w:rsidR="00D2360A" w:rsidRDefault="00D2360A" w14:paraId="4E6449CB" w14:textId="463483FC">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00E64" w:rsidP="00266DAC" w:rsidRDefault="00500E64" w14:paraId="43782DE9" w14:textId="77777777">
      <w:r>
        <w:separator/>
      </w:r>
    </w:p>
  </w:footnote>
  <w:footnote w:type="continuationSeparator" w:id="0">
    <w:p w:rsidR="00500E64" w:rsidP="00266DAC" w:rsidRDefault="00500E64" w14:paraId="5A70555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D62E3"/>
    <w:multiLevelType w:val="multilevel"/>
    <w:tmpl w:val="D8803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71C393A"/>
    <w:multiLevelType w:val="hybridMultilevel"/>
    <w:tmpl w:val="45925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0BE147C"/>
    <w:multiLevelType w:val="hybridMultilevel"/>
    <w:tmpl w:val="843A3526"/>
    <w:lvl w:ilvl="0" w:tplc="B9DCCCB2">
      <w:start w:val="866"/>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CFE4B8A"/>
    <w:multiLevelType w:val="hybridMultilevel"/>
    <w:tmpl w:val="8528BDB8"/>
    <w:lvl w:ilvl="0" w:tplc="C416219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7946540"/>
    <w:multiLevelType w:val="hybridMultilevel"/>
    <w:tmpl w:val="BDA602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3"/>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4"/>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23FDF"/>
    <w:rsid w:val="000364E0"/>
    <w:rsid w:val="00040470"/>
    <w:rsid w:val="000578D0"/>
    <w:rsid w:val="000749F7"/>
    <w:rsid w:val="00081A16"/>
    <w:rsid w:val="00083A2A"/>
    <w:rsid w:val="0009075A"/>
    <w:rsid w:val="00102AF2"/>
    <w:rsid w:val="00106BBB"/>
    <w:rsid w:val="00107123"/>
    <w:rsid w:val="00110C4B"/>
    <w:rsid w:val="00134D1A"/>
    <w:rsid w:val="001519C8"/>
    <w:rsid w:val="0018347D"/>
    <w:rsid w:val="001920D7"/>
    <w:rsid w:val="00196F0C"/>
    <w:rsid w:val="001C5557"/>
    <w:rsid w:val="001F305B"/>
    <w:rsid w:val="002075C5"/>
    <w:rsid w:val="00211766"/>
    <w:rsid w:val="00235E75"/>
    <w:rsid w:val="00246FEE"/>
    <w:rsid w:val="00251F21"/>
    <w:rsid w:val="00266DAC"/>
    <w:rsid w:val="00283482"/>
    <w:rsid w:val="0029009B"/>
    <w:rsid w:val="002907BD"/>
    <w:rsid w:val="002A6240"/>
    <w:rsid w:val="002B3815"/>
    <w:rsid w:val="002F25E8"/>
    <w:rsid w:val="00331AEB"/>
    <w:rsid w:val="003320A1"/>
    <w:rsid w:val="0037770B"/>
    <w:rsid w:val="0038385F"/>
    <w:rsid w:val="003949A3"/>
    <w:rsid w:val="003A10D7"/>
    <w:rsid w:val="003A1CCA"/>
    <w:rsid w:val="003C120F"/>
    <w:rsid w:val="003E13BB"/>
    <w:rsid w:val="004244CB"/>
    <w:rsid w:val="00445938"/>
    <w:rsid w:val="00460AE8"/>
    <w:rsid w:val="00467357"/>
    <w:rsid w:val="0048430B"/>
    <w:rsid w:val="004C00FE"/>
    <w:rsid w:val="004F6334"/>
    <w:rsid w:val="00500E64"/>
    <w:rsid w:val="00503E59"/>
    <w:rsid w:val="00505ACD"/>
    <w:rsid w:val="00505EB5"/>
    <w:rsid w:val="00523340"/>
    <w:rsid w:val="00544240"/>
    <w:rsid w:val="00545A57"/>
    <w:rsid w:val="00583626"/>
    <w:rsid w:val="005944EB"/>
    <w:rsid w:val="00594728"/>
    <w:rsid w:val="0059551A"/>
    <w:rsid w:val="005B0EEC"/>
    <w:rsid w:val="005C68D0"/>
    <w:rsid w:val="005D7EA7"/>
    <w:rsid w:val="005E4398"/>
    <w:rsid w:val="00620415"/>
    <w:rsid w:val="006239E2"/>
    <w:rsid w:val="0063294A"/>
    <w:rsid w:val="00632A92"/>
    <w:rsid w:val="00633D68"/>
    <w:rsid w:val="00634510"/>
    <w:rsid w:val="00636B1A"/>
    <w:rsid w:val="006414A7"/>
    <w:rsid w:val="00680034"/>
    <w:rsid w:val="0069077D"/>
    <w:rsid w:val="00695203"/>
    <w:rsid w:val="006C06CD"/>
    <w:rsid w:val="006E75B6"/>
    <w:rsid w:val="0070521D"/>
    <w:rsid w:val="00710860"/>
    <w:rsid w:val="00714A97"/>
    <w:rsid w:val="00740C46"/>
    <w:rsid w:val="0079002C"/>
    <w:rsid w:val="007B7219"/>
    <w:rsid w:val="007D07C9"/>
    <w:rsid w:val="007D5CC4"/>
    <w:rsid w:val="007F0451"/>
    <w:rsid w:val="00812C3B"/>
    <w:rsid w:val="00824B31"/>
    <w:rsid w:val="00842CF2"/>
    <w:rsid w:val="008550E9"/>
    <w:rsid w:val="008569D3"/>
    <w:rsid w:val="00857019"/>
    <w:rsid w:val="008809A8"/>
    <w:rsid w:val="00882F1C"/>
    <w:rsid w:val="008934F9"/>
    <w:rsid w:val="008968F2"/>
    <w:rsid w:val="008B4AAB"/>
    <w:rsid w:val="008C4D46"/>
    <w:rsid w:val="008D0EA8"/>
    <w:rsid w:val="009006F4"/>
    <w:rsid w:val="00911DBF"/>
    <w:rsid w:val="0092244F"/>
    <w:rsid w:val="00927A18"/>
    <w:rsid w:val="00937001"/>
    <w:rsid w:val="00943457"/>
    <w:rsid w:val="00945B6E"/>
    <w:rsid w:val="009955A6"/>
    <w:rsid w:val="009A0D55"/>
    <w:rsid w:val="009A3AB2"/>
    <w:rsid w:val="009B309C"/>
    <w:rsid w:val="009D0CF8"/>
    <w:rsid w:val="009D49F2"/>
    <w:rsid w:val="009D6520"/>
    <w:rsid w:val="00A20060"/>
    <w:rsid w:val="00A7327F"/>
    <w:rsid w:val="00A81B1B"/>
    <w:rsid w:val="00AB5066"/>
    <w:rsid w:val="00AD04C2"/>
    <w:rsid w:val="00AF2661"/>
    <w:rsid w:val="00AF2B8A"/>
    <w:rsid w:val="00B01F28"/>
    <w:rsid w:val="00B57370"/>
    <w:rsid w:val="00B60BC5"/>
    <w:rsid w:val="00B62555"/>
    <w:rsid w:val="00BA267F"/>
    <w:rsid w:val="00BA39F9"/>
    <w:rsid w:val="00BA5CA4"/>
    <w:rsid w:val="00BC50F0"/>
    <w:rsid w:val="00BD5F4F"/>
    <w:rsid w:val="00BD691A"/>
    <w:rsid w:val="00BE073B"/>
    <w:rsid w:val="00BE71CA"/>
    <w:rsid w:val="00BE799E"/>
    <w:rsid w:val="00C03426"/>
    <w:rsid w:val="00C06F8D"/>
    <w:rsid w:val="00C14254"/>
    <w:rsid w:val="00C14DAC"/>
    <w:rsid w:val="00C20D39"/>
    <w:rsid w:val="00C70CFE"/>
    <w:rsid w:val="00C71895"/>
    <w:rsid w:val="00CA7D15"/>
    <w:rsid w:val="00D133DA"/>
    <w:rsid w:val="00D2360A"/>
    <w:rsid w:val="00D378D8"/>
    <w:rsid w:val="00D60FBE"/>
    <w:rsid w:val="00D67AA7"/>
    <w:rsid w:val="00D85B67"/>
    <w:rsid w:val="00DA037D"/>
    <w:rsid w:val="00E17B1E"/>
    <w:rsid w:val="00E23431"/>
    <w:rsid w:val="00E24BC6"/>
    <w:rsid w:val="00E410AD"/>
    <w:rsid w:val="00E51F9D"/>
    <w:rsid w:val="00E601FC"/>
    <w:rsid w:val="00E7438C"/>
    <w:rsid w:val="00E80BCE"/>
    <w:rsid w:val="00EA62C3"/>
    <w:rsid w:val="00ED49B0"/>
    <w:rsid w:val="00ED7F34"/>
    <w:rsid w:val="00EF10BC"/>
    <w:rsid w:val="00F22974"/>
    <w:rsid w:val="00F306FA"/>
    <w:rsid w:val="00F41030"/>
    <w:rsid w:val="00F4302D"/>
    <w:rsid w:val="00F607B3"/>
    <w:rsid w:val="00F64490"/>
    <w:rsid w:val="00F87E59"/>
    <w:rsid w:val="00FC0DE4"/>
    <w:rsid w:val="00FF5340"/>
    <w:rsid w:val="08601C27"/>
    <w:rsid w:val="0D6457A9"/>
    <w:rsid w:val="18F411DD"/>
    <w:rsid w:val="25200056"/>
    <w:rsid w:val="2A7937A3"/>
    <w:rsid w:val="3AD394A6"/>
    <w:rsid w:val="5099282A"/>
    <w:rsid w:val="54EBA250"/>
    <w:rsid w:val="57A18006"/>
    <w:rsid w:val="5B54EF03"/>
    <w:rsid w:val="64280B40"/>
    <w:rsid w:val="67E4814F"/>
    <w:rsid w:val="6F445C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B79046"/>
  <w15:docId w15:val="{1E057A4F-276C-4AAD-AA45-81D9B095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4D1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20A1"/>
    <w:pPr>
      <w:keepNext/>
      <w:keepLines/>
      <w:spacing w:before="200"/>
      <w:outlineLvl w:val="1"/>
    </w:pPr>
    <w:rPr>
      <w:rFonts w:asciiTheme="majorHAnsi" w:hAnsiTheme="majorHAnsi" w:eastAsiaTheme="majorEastAsia" w:cstheme="majorBidi"/>
      <w:b/>
      <w:bCs/>
      <w:szCs w:val="26"/>
    </w:rPr>
  </w:style>
  <w:style w:type="paragraph" w:styleId="Heading3">
    <w:name w:val="heading 3"/>
    <w:basedOn w:val="Normal"/>
    <w:next w:val="Normal"/>
    <w:link w:val="Heading3Char"/>
    <w:uiPriority w:val="9"/>
    <w:unhideWhenUsed/>
    <w:qFormat/>
    <w:rsid w:val="003320A1"/>
    <w:pPr>
      <w:keepNext/>
      <w:keepLines/>
      <w:spacing w:before="20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3320A1"/>
    <w:rPr>
      <w:rFonts w:asciiTheme="majorHAnsi" w:hAnsiTheme="majorHAnsi" w:eastAsiaTheme="majorEastAsia" w:cstheme="majorBidi"/>
      <w:b/>
      <w:bCs/>
      <w:i/>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styleId="CommentReference">
    <w:name w:val="annotation reference"/>
    <w:basedOn w:val="DefaultParagraphFont"/>
    <w:uiPriority w:val="99"/>
    <w:semiHidden/>
    <w:unhideWhenUsed/>
    <w:rsid w:val="00A81B1B"/>
    <w:rPr>
      <w:sz w:val="16"/>
      <w:szCs w:val="16"/>
    </w:rPr>
  </w:style>
  <w:style w:type="paragraph" w:styleId="CommentText">
    <w:name w:val="annotation text"/>
    <w:basedOn w:val="Normal"/>
    <w:link w:val="CommentTextChar"/>
    <w:uiPriority w:val="99"/>
    <w:semiHidden/>
    <w:unhideWhenUsed/>
    <w:rsid w:val="00A81B1B"/>
    <w:rPr>
      <w:sz w:val="20"/>
      <w:szCs w:val="20"/>
    </w:rPr>
  </w:style>
  <w:style w:type="character" w:styleId="CommentTextChar" w:customStyle="1">
    <w:name w:val="Comment Text Char"/>
    <w:basedOn w:val="DefaultParagraphFont"/>
    <w:link w:val="CommentText"/>
    <w:uiPriority w:val="99"/>
    <w:semiHidden/>
    <w:rsid w:val="00A81B1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1B1B"/>
    <w:rPr>
      <w:b/>
      <w:bCs/>
    </w:rPr>
  </w:style>
  <w:style w:type="character" w:styleId="CommentSubjectChar" w:customStyle="1">
    <w:name w:val="Comment Subject Char"/>
    <w:basedOn w:val="CommentTextChar"/>
    <w:link w:val="CommentSubject"/>
    <w:uiPriority w:val="99"/>
    <w:semiHidden/>
    <w:rsid w:val="00A81B1B"/>
    <w:rPr>
      <w:rFonts w:ascii="Times New Roman" w:hAnsi="Times New Roman" w:cs="Times New Roman"/>
      <w:b/>
      <w:bCs/>
      <w:sz w:val="20"/>
      <w:szCs w:val="20"/>
    </w:rPr>
  </w:style>
  <w:style w:type="character" w:styleId="Heading2Char" w:customStyle="1">
    <w:name w:val="Heading 2 Char"/>
    <w:basedOn w:val="DefaultParagraphFont"/>
    <w:link w:val="Heading2"/>
    <w:uiPriority w:val="9"/>
    <w:rsid w:val="003320A1"/>
    <w:rPr>
      <w:rFonts w:asciiTheme="majorHAnsi" w:hAnsiTheme="majorHAnsi" w:eastAsiaTheme="majorEastAsia"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65861">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62529161">
      <w:bodyDiv w:val="1"/>
      <w:marLeft w:val="0"/>
      <w:marRight w:val="0"/>
      <w:marTop w:val="0"/>
      <w:marBottom w:val="0"/>
      <w:divBdr>
        <w:top w:val="none" w:sz="0" w:space="0" w:color="auto"/>
        <w:left w:val="none" w:sz="0" w:space="0" w:color="auto"/>
        <w:bottom w:val="none" w:sz="0" w:space="0" w:color="auto"/>
        <w:right w:val="none" w:sz="0" w:space="0" w:color="auto"/>
      </w:divBdr>
    </w:div>
    <w:div w:id="1128086944">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bocada-support.force.com"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support@bocada.com" TargetMode="External" Id="rId14" /><Relationship Type="http://schemas.openxmlformats.org/officeDocument/2006/relationships/glossaryDocument" Target="glossary/document.xml" Id="R7ae6907430e144d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355171d-5903-4691-beb6-e77165502898}"/>
      </w:docPartPr>
      <w:docPartBody>
        <w:p w14:paraId="43345D4A">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07CA0E-3948-4DDE-8D5F-7B14E1A3EA8D}">
  <ds:schemaRefs>
    <ds:schemaRef ds:uri="http://schemas.openxmlformats.org/officeDocument/2006/bibliography"/>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D2FB3BF1-6436-439D-B6E9-B57DBC7CF491}">
  <ds:schemaRefs>
    <ds:schemaRef ds:uri="http://purl.org/dc/elements/1.1/"/>
    <ds:schemaRef ds:uri="287530da-d036-4e01-8d9f-60726ac42c4b"/>
    <ds:schemaRef ds:uri="http://purl.org/dc/terms/"/>
    <ds:schemaRef ds:uri="http://schemas.openxmlformats.org/package/2006/metadata/core-properties"/>
    <ds:schemaRef ds:uri="http://purl.org/dc/dcmitype/"/>
    <ds:schemaRef ds:uri="222e3b99-5dbd-4b84-bbbd-a4351ce636e0"/>
    <ds:schemaRef ds:uri="http://schemas.microsoft.com/office/2006/documentManagement/types"/>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956ECB4-DCC2-46B2-80EF-4D0AF84BE4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Karen Hensley</cp:lastModifiedBy>
  <cp:revision>57</cp:revision>
  <cp:lastPrinted>2021-02-11T23:52:00Z</cp:lastPrinted>
  <dcterms:created xsi:type="dcterms:W3CDTF">2018-01-08T17:17:00Z</dcterms:created>
  <dcterms:modified xsi:type="dcterms:W3CDTF">2022-09-12T15:44:17Z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