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009D0CF8" w:rsidP="00011168">
      <w:pPr>
        <w:rPr>
          <w:rFonts w:cstheme="minorHAnsi"/>
        </w:rPr>
      </w:pPr>
      <w:r>
        <w:rPr>
          <w:noProof/>
        </w:rPr>
        <w:drawing>
          <wp:inline distT="0" distB="0" distL="0" distR="0" wp14:anchorId="2862AC29" wp14:editId="3324402D">
            <wp:extent cx="2209800" cy="457200"/>
            <wp:effectExtent l="0" t="0" r="0" b="0"/>
            <wp:docPr id="790907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011168">
      <w:pPr>
        <w:jc w:val="right"/>
        <w:rPr>
          <w:rFonts w:cstheme="minorHAnsi"/>
          <w:b/>
          <w:bCs/>
          <w:sz w:val="56"/>
          <w:szCs w:val="56"/>
        </w:rPr>
      </w:pPr>
    </w:p>
    <w:p w14:paraId="495EDFD5" w14:textId="77777777" w:rsidR="009D0CF8" w:rsidRDefault="009D0CF8" w:rsidP="00011168">
      <w:pPr>
        <w:jc w:val="right"/>
        <w:rPr>
          <w:rFonts w:cstheme="minorHAnsi"/>
          <w:b/>
          <w:bCs/>
          <w:sz w:val="56"/>
          <w:szCs w:val="56"/>
        </w:rPr>
      </w:pPr>
    </w:p>
    <w:p w14:paraId="57BDC572" w14:textId="6817D9B3" w:rsidR="009D0CF8" w:rsidRPr="008E4E1C" w:rsidRDefault="009D0CF8" w:rsidP="00011168">
      <w:pPr>
        <w:pStyle w:val="Title"/>
        <w:jc w:val="right"/>
      </w:pPr>
    </w:p>
    <w:p w14:paraId="54BA7064" w14:textId="1F82833E" w:rsidR="00C2239C" w:rsidRDefault="000D6A32" w:rsidP="00011168">
      <w:pPr>
        <w:jc w:val="right"/>
        <w:rPr>
          <w:rFonts w:cstheme="minorHAnsi"/>
          <w:b/>
          <w:sz w:val="48"/>
          <w:szCs w:val="40"/>
        </w:rPr>
      </w:pPr>
      <w:r>
        <w:rPr>
          <w:rFonts w:cstheme="minorHAnsi"/>
          <w:b/>
          <w:sz w:val="48"/>
          <w:szCs w:val="40"/>
        </w:rPr>
        <w:t>N2WS Backup &amp; Recovery</w:t>
      </w:r>
      <w:r w:rsidR="00153642">
        <w:rPr>
          <w:rFonts w:cstheme="minorHAnsi"/>
          <w:b/>
          <w:sz w:val="48"/>
          <w:szCs w:val="40"/>
        </w:rPr>
        <w:t xml:space="preserve"> </w:t>
      </w:r>
    </w:p>
    <w:p w14:paraId="0BBB60AB" w14:textId="2B70C51B" w:rsidR="001A38F6" w:rsidRPr="001A38F6" w:rsidRDefault="006A034A" w:rsidP="00011168">
      <w:pPr>
        <w:jc w:val="right"/>
        <w:rPr>
          <w:rFonts w:cstheme="minorHAnsi"/>
          <w:b/>
          <w:sz w:val="48"/>
          <w:szCs w:val="40"/>
        </w:rPr>
      </w:pPr>
      <w:r>
        <w:rPr>
          <w:rFonts w:cstheme="minorHAnsi"/>
          <w:b/>
          <w:sz w:val="48"/>
          <w:szCs w:val="40"/>
        </w:rPr>
        <w:t xml:space="preserve">(CPM </w:t>
      </w:r>
      <w:r w:rsidR="00C2239C">
        <w:rPr>
          <w:rFonts w:cstheme="minorHAnsi"/>
          <w:b/>
          <w:sz w:val="48"/>
          <w:szCs w:val="40"/>
        </w:rPr>
        <w:t>Cloud Protection Manager</w:t>
      </w:r>
      <w:r>
        <w:rPr>
          <w:rFonts w:cstheme="minorHAnsi"/>
          <w:b/>
          <w:sz w:val="48"/>
          <w:szCs w:val="40"/>
        </w:rPr>
        <w:t>)</w:t>
      </w:r>
    </w:p>
    <w:p w14:paraId="7D6E4D30" w14:textId="0CE995AB" w:rsidR="009D0CF8" w:rsidRDefault="005944EB" w:rsidP="00893E09">
      <w:pPr>
        <w:jc w:val="right"/>
        <w:rPr>
          <w:rFonts w:cstheme="minorHAnsi"/>
          <w:b/>
          <w:sz w:val="40"/>
          <w:szCs w:val="40"/>
        </w:rPr>
      </w:pPr>
      <w:r w:rsidRPr="005944EB">
        <w:rPr>
          <w:rFonts w:cstheme="minorHAnsi"/>
          <w:b/>
          <w:sz w:val="40"/>
          <w:szCs w:val="40"/>
        </w:rPr>
        <w:t>Plugin Configuration Guide</w:t>
      </w:r>
    </w:p>
    <w:p w14:paraId="781F8621" w14:textId="6C6984FD" w:rsidR="00806CA5" w:rsidRDefault="00806CA5" w:rsidP="00893E09">
      <w:pPr>
        <w:jc w:val="right"/>
        <w:rPr>
          <w:rFonts w:cstheme="minorHAnsi"/>
          <w:b/>
          <w:sz w:val="40"/>
          <w:szCs w:val="40"/>
        </w:rPr>
      </w:pPr>
    </w:p>
    <w:p w14:paraId="01BEE469" w14:textId="77777777" w:rsidR="009D0CF8" w:rsidRDefault="009D0CF8" w:rsidP="00011168">
      <w:pPr>
        <w:rPr>
          <w:rFonts w:ascii="Calibri" w:hAnsi="Calibri" w:cs="Calibri"/>
          <w:b/>
          <w:bCs/>
        </w:rPr>
      </w:pPr>
    </w:p>
    <w:p w14:paraId="38746D73" w14:textId="34B761E0" w:rsidR="009D0CF8" w:rsidRPr="00DE459D" w:rsidRDefault="009D0CF8" w:rsidP="00011168">
      <w:pPr>
        <w:rPr>
          <w:sz w:val="20"/>
          <w:szCs w:val="20"/>
        </w:rPr>
      </w:pPr>
    </w:p>
    <w:bookmarkStart w:id="0" w:name="_Toc364328932" w:displacedByCustomXml="next"/>
    <w:bookmarkStart w:id="1" w:name="_Toc364328421"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60D8D4A5" w:rsidR="009D0CF8" w:rsidRDefault="00A61E49" w:rsidP="00011168">
          <w:pPr>
            <w:pStyle w:val="TOCHeading"/>
            <w:contextualSpacing/>
          </w:pPr>
          <w:r>
            <w:t>C</w:t>
          </w:r>
          <w:r w:rsidR="009D0CF8">
            <w:t>ontents</w:t>
          </w:r>
        </w:p>
        <w:p w14:paraId="36464DB4" w14:textId="77777777" w:rsidR="005E6E01" w:rsidRPr="005E6E01" w:rsidRDefault="005E6E01" w:rsidP="00011168">
          <w:pPr>
            <w:rPr>
              <w:lang w:eastAsia="ja-JP"/>
            </w:rPr>
          </w:pPr>
        </w:p>
        <w:p w14:paraId="27FD90FE" w14:textId="1C880031" w:rsidR="00DA54CA" w:rsidRDefault="009D0CF8">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100908208" w:history="1">
            <w:r w:rsidR="00DA54CA" w:rsidRPr="002F4033">
              <w:rPr>
                <w:rStyle w:val="Hyperlink"/>
                <w:noProof/>
              </w:rPr>
              <w:t>N2WS (CPM) Configuration Checklist</w:t>
            </w:r>
            <w:r w:rsidR="00DA54CA">
              <w:rPr>
                <w:noProof/>
                <w:webHidden/>
              </w:rPr>
              <w:tab/>
            </w:r>
            <w:r w:rsidR="00DA54CA">
              <w:rPr>
                <w:noProof/>
                <w:webHidden/>
              </w:rPr>
              <w:fldChar w:fldCharType="begin"/>
            </w:r>
            <w:r w:rsidR="00DA54CA">
              <w:rPr>
                <w:noProof/>
                <w:webHidden/>
              </w:rPr>
              <w:instrText xml:space="preserve"> PAGEREF _Toc100908208 \h </w:instrText>
            </w:r>
            <w:r w:rsidR="00DA54CA">
              <w:rPr>
                <w:noProof/>
                <w:webHidden/>
              </w:rPr>
            </w:r>
            <w:r w:rsidR="00DA54CA">
              <w:rPr>
                <w:noProof/>
                <w:webHidden/>
              </w:rPr>
              <w:fldChar w:fldCharType="separate"/>
            </w:r>
            <w:r w:rsidR="0059295A">
              <w:rPr>
                <w:noProof/>
                <w:webHidden/>
              </w:rPr>
              <w:t>2</w:t>
            </w:r>
            <w:r w:rsidR="00DA54CA">
              <w:rPr>
                <w:noProof/>
                <w:webHidden/>
              </w:rPr>
              <w:fldChar w:fldCharType="end"/>
            </w:r>
          </w:hyperlink>
        </w:p>
        <w:p w14:paraId="45B03145" w14:textId="368D385B" w:rsidR="00DA54CA" w:rsidRDefault="00DA54CA">
          <w:pPr>
            <w:pStyle w:val="TOC1"/>
            <w:rPr>
              <w:rFonts w:eastAsiaTheme="minorEastAsia" w:cstheme="minorBidi"/>
              <w:noProof/>
              <w:szCs w:val="22"/>
            </w:rPr>
          </w:pPr>
          <w:hyperlink w:anchor="_Toc100908209" w:history="1">
            <w:r w:rsidRPr="002F4033">
              <w:rPr>
                <w:rStyle w:val="Hyperlink"/>
                <w:noProof/>
              </w:rPr>
              <w:t>Supported Collection Types</w:t>
            </w:r>
            <w:r>
              <w:rPr>
                <w:noProof/>
                <w:webHidden/>
              </w:rPr>
              <w:tab/>
            </w:r>
            <w:r>
              <w:rPr>
                <w:noProof/>
                <w:webHidden/>
              </w:rPr>
              <w:fldChar w:fldCharType="begin"/>
            </w:r>
            <w:r>
              <w:rPr>
                <w:noProof/>
                <w:webHidden/>
              </w:rPr>
              <w:instrText xml:space="preserve"> PAGEREF _Toc100908209 \h </w:instrText>
            </w:r>
            <w:r>
              <w:rPr>
                <w:noProof/>
                <w:webHidden/>
              </w:rPr>
            </w:r>
            <w:r>
              <w:rPr>
                <w:noProof/>
                <w:webHidden/>
              </w:rPr>
              <w:fldChar w:fldCharType="separate"/>
            </w:r>
            <w:r w:rsidR="0059295A">
              <w:rPr>
                <w:noProof/>
                <w:webHidden/>
              </w:rPr>
              <w:t>2</w:t>
            </w:r>
            <w:r>
              <w:rPr>
                <w:noProof/>
                <w:webHidden/>
              </w:rPr>
              <w:fldChar w:fldCharType="end"/>
            </w:r>
          </w:hyperlink>
        </w:p>
        <w:p w14:paraId="135F0B78" w14:textId="40611962" w:rsidR="00DA54CA" w:rsidRDefault="00DA54CA">
          <w:pPr>
            <w:pStyle w:val="TOC1"/>
            <w:rPr>
              <w:rFonts w:eastAsiaTheme="minorEastAsia" w:cstheme="minorBidi"/>
              <w:noProof/>
              <w:szCs w:val="22"/>
            </w:rPr>
          </w:pPr>
          <w:hyperlink w:anchor="_Toc100908210" w:history="1">
            <w:r w:rsidRPr="002F4033">
              <w:rPr>
                <w:rStyle w:val="Hyperlink"/>
                <w:noProof/>
              </w:rPr>
              <w:t>Data Sources</w:t>
            </w:r>
            <w:r>
              <w:rPr>
                <w:noProof/>
                <w:webHidden/>
              </w:rPr>
              <w:tab/>
            </w:r>
            <w:r>
              <w:rPr>
                <w:noProof/>
                <w:webHidden/>
              </w:rPr>
              <w:fldChar w:fldCharType="begin"/>
            </w:r>
            <w:r>
              <w:rPr>
                <w:noProof/>
                <w:webHidden/>
              </w:rPr>
              <w:instrText xml:space="preserve"> PAGEREF _Toc100908210 \h </w:instrText>
            </w:r>
            <w:r>
              <w:rPr>
                <w:noProof/>
                <w:webHidden/>
              </w:rPr>
            </w:r>
            <w:r>
              <w:rPr>
                <w:noProof/>
                <w:webHidden/>
              </w:rPr>
              <w:fldChar w:fldCharType="separate"/>
            </w:r>
            <w:r w:rsidR="0059295A">
              <w:rPr>
                <w:noProof/>
                <w:webHidden/>
              </w:rPr>
              <w:t>2</w:t>
            </w:r>
            <w:r>
              <w:rPr>
                <w:noProof/>
                <w:webHidden/>
              </w:rPr>
              <w:fldChar w:fldCharType="end"/>
            </w:r>
          </w:hyperlink>
        </w:p>
        <w:p w14:paraId="4047C78C" w14:textId="6DA4A108" w:rsidR="00DA54CA" w:rsidRDefault="00DA54CA">
          <w:pPr>
            <w:pStyle w:val="TOC1"/>
            <w:rPr>
              <w:rFonts w:eastAsiaTheme="minorEastAsia" w:cstheme="minorBidi"/>
              <w:noProof/>
              <w:szCs w:val="22"/>
            </w:rPr>
          </w:pPr>
          <w:hyperlink w:anchor="_Toc100908211" w:history="1">
            <w:r w:rsidRPr="002F4033">
              <w:rPr>
                <w:rStyle w:val="Hyperlink"/>
                <w:noProof/>
              </w:rPr>
              <w:t>Requirements</w:t>
            </w:r>
            <w:r>
              <w:rPr>
                <w:noProof/>
                <w:webHidden/>
              </w:rPr>
              <w:tab/>
            </w:r>
            <w:r>
              <w:rPr>
                <w:noProof/>
                <w:webHidden/>
              </w:rPr>
              <w:fldChar w:fldCharType="begin"/>
            </w:r>
            <w:r>
              <w:rPr>
                <w:noProof/>
                <w:webHidden/>
              </w:rPr>
              <w:instrText xml:space="preserve"> PAGEREF _Toc100908211 \h </w:instrText>
            </w:r>
            <w:r>
              <w:rPr>
                <w:noProof/>
                <w:webHidden/>
              </w:rPr>
            </w:r>
            <w:r>
              <w:rPr>
                <w:noProof/>
                <w:webHidden/>
              </w:rPr>
              <w:fldChar w:fldCharType="separate"/>
            </w:r>
            <w:r w:rsidR="0059295A">
              <w:rPr>
                <w:noProof/>
                <w:webHidden/>
              </w:rPr>
              <w:t>2</w:t>
            </w:r>
            <w:r>
              <w:rPr>
                <w:noProof/>
                <w:webHidden/>
              </w:rPr>
              <w:fldChar w:fldCharType="end"/>
            </w:r>
          </w:hyperlink>
        </w:p>
        <w:p w14:paraId="1CBF0E3E" w14:textId="46AC64CE" w:rsidR="00DA54CA" w:rsidRDefault="00DA54CA">
          <w:pPr>
            <w:pStyle w:val="TOC3"/>
            <w:tabs>
              <w:tab w:val="right" w:leader="dot" w:pos="9350"/>
            </w:tabs>
            <w:rPr>
              <w:rFonts w:eastAsiaTheme="minorEastAsia" w:cstheme="minorBidi"/>
              <w:noProof/>
              <w:szCs w:val="22"/>
            </w:rPr>
          </w:pPr>
          <w:hyperlink w:anchor="_Toc100908212" w:history="1">
            <w:r w:rsidRPr="002F4033">
              <w:rPr>
                <w:rStyle w:val="Hyperlink"/>
                <w:noProof/>
              </w:rPr>
              <w:t>Access Keys</w:t>
            </w:r>
            <w:r>
              <w:rPr>
                <w:noProof/>
                <w:webHidden/>
              </w:rPr>
              <w:tab/>
            </w:r>
            <w:r>
              <w:rPr>
                <w:noProof/>
                <w:webHidden/>
              </w:rPr>
              <w:fldChar w:fldCharType="begin"/>
            </w:r>
            <w:r>
              <w:rPr>
                <w:noProof/>
                <w:webHidden/>
              </w:rPr>
              <w:instrText xml:space="preserve"> PAGEREF _Toc100908212 \h </w:instrText>
            </w:r>
            <w:r>
              <w:rPr>
                <w:noProof/>
                <w:webHidden/>
              </w:rPr>
            </w:r>
            <w:r>
              <w:rPr>
                <w:noProof/>
                <w:webHidden/>
              </w:rPr>
              <w:fldChar w:fldCharType="separate"/>
            </w:r>
            <w:r w:rsidR="0059295A">
              <w:rPr>
                <w:noProof/>
                <w:webHidden/>
              </w:rPr>
              <w:t>2</w:t>
            </w:r>
            <w:r>
              <w:rPr>
                <w:noProof/>
                <w:webHidden/>
              </w:rPr>
              <w:fldChar w:fldCharType="end"/>
            </w:r>
          </w:hyperlink>
        </w:p>
        <w:p w14:paraId="689225D4" w14:textId="553C8964" w:rsidR="00DA54CA" w:rsidRDefault="00DA54CA">
          <w:pPr>
            <w:pStyle w:val="TOC3"/>
            <w:tabs>
              <w:tab w:val="right" w:leader="dot" w:pos="9350"/>
            </w:tabs>
            <w:rPr>
              <w:rFonts w:eastAsiaTheme="minorEastAsia" w:cstheme="minorBidi"/>
              <w:noProof/>
              <w:szCs w:val="22"/>
            </w:rPr>
          </w:pPr>
          <w:hyperlink w:anchor="_Toc100908213" w:history="1">
            <w:r w:rsidRPr="002F4033">
              <w:rPr>
                <w:rStyle w:val="Hyperlink"/>
                <w:noProof/>
              </w:rPr>
              <w:t>Firewall Ports</w:t>
            </w:r>
            <w:r>
              <w:rPr>
                <w:noProof/>
                <w:webHidden/>
              </w:rPr>
              <w:tab/>
            </w:r>
            <w:r>
              <w:rPr>
                <w:noProof/>
                <w:webHidden/>
              </w:rPr>
              <w:fldChar w:fldCharType="begin"/>
            </w:r>
            <w:r>
              <w:rPr>
                <w:noProof/>
                <w:webHidden/>
              </w:rPr>
              <w:instrText xml:space="preserve"> PAGEREF _Toc100908213 \h </w:instrText>
            </w:r>
            <w:r>
              <w:rPr>
                <w:noProof/>
                <w:webHidden/>
              </w:rPr>
            </w:r>
            <w:r>
              <w:rPr>
                <w:noProof/>
                <w:webHidden/>
              </w:rPr>
              <w:fldChar w:fldCharType="separate"/>
            </w:r>
            <w:r w:rsidR="0059295A">
              <w:rPr>
                <w:noProof/>
                <w:webHidden/>
              </w:rPr>
              <w:t>3</w:t>
            </w:r>
            <w:r>
              <w:rPr>
                <w:noProof/>
                <w:webHidden/>
              </w:rPr>
              <w:fldChar w:fldCharType="end"/>
            </w:r>
          </w:hyperlink>
        </w:p>
        <w:p w14:paraId="49C236E4" w14:textId="6C979BA9" w:rsidR="00DA54CA" w:rsidRDefault="00DA54CA">
          <w:pPr>
            <w:pStyle w:val="TOC1"/>
            <w:rPr>
              <w:rFonts w:eastAsiaTheme="minorEastAsia" w:cstheme="minorBidi"/>
              <w:noProof/>
              <w:szCs w:val="22"/>
            </w:rPr>
          </w:pPr>
          <w:hyperlink w:anchor="_Toc100908214" w:history="1">
            <w:r w:rsidRPr="002F4033">
              <w:rPr>
                <w:rStyle w:val="Hyperlink"/>
                <w:noProof/>
              </w:rPr>
              <w:t>Setup</w:t>
            </w:r>
            <w:r>
              <w:rPr>
                <w:noProof/>
                <w:webHidden/>
              </w:rPr>
              <w:tab/>
            </w:r>
            <w:r>
              <w:rPr>
                <w:noProof/>
                <w:webHidden/>
              </w:rPr>
              <w:fldChar w:fldCharType="begin"/>
            </w:r>
            <w:r>
              <w:rPr>
                <w:noProof/>
                <w:webHidden/>
              </w:rPr>
              <w:instrText xml:space="preserve"> PAGEREF _Toc100908214 \h </w:instrText>
            </w:r>
            <w:r>
              <w:rPr>
                <w:noProof/>
                <w:webHidden/>
              </w:rPr>
            </w:r>
            <w:r>
              <w:rPr>
                <w:noProof/>
                <w:webHidden/>
              </w:rPr>
              <w:fldChar w:fldCharType="separate"/>
            </w:r>
            <w:r w:rsidR="0059295A">
              <w:rPr>
                <w:noProof/>
                <w:webHidden/>
              </w:rPr>
              <w:t>3</w:t>
            </w:r>
            <w:r>
              <w:rPr>
                <w:noProof/>
                <w:webHidden/>
              </w:rPr>
              <w:fldChar w:fldCharType="end"/>
            </w:r>
          </w:hyperlink>
        </w:p>
        <w:p w14:paraId="3AC0B2DA" w14:textId="7930AEEC" w:rsidR="00DA54CA" w:rsidRDefault="00DA54CA">
          <w:pPr>
            <w:pStyle w:val="TOC3"/>
            <w:tabs>
              <w:tab w:val="right" w:leader="dot" w:pos="9350"/>
            </w:tabs>
            <w:rPr>
              <w:rFonts w:eastAsiaTheme="minorEastAsia" w:cstheme="minorBidi"/>
              <w:noProof/>
              <w:szCs w:val="22"/>
            </w:rPr>
          </w:pPr>
          <w:hyperlink w:anchor="_Toc100908215" w:history="1">
            <w:r w:rsidRPr="002F4033">
              <w:rPr>
                <w:rStyle w:val="Hyperlink"/>
                <w:noProof/>
              </w:rPr>
              <w:t>Server Properties</w:t>
            </w:r>
            <w:r>
              <w:rPr>
                <w:noProof/>
                <w:webHidden/>
              </w:rPr>
              <w:tab/>
            </w:r>
            <w:r>
              <w:rPr>
                <w:noProof/>
                <w:webHidden/>
              </w:rPr>
              <w:fldChar w:fldCharType="begin"/>
            </w:r>
            <w:r>
              <w:rPr>
                <w:noProof/>
                <w:webHidden/>
              </w:rPr>
              <w:instrText xml:space="preserve"> PAGEREF _Toc100908215 \h </w:instrText>
            </w:r>
            <w:r>
              <w:rPr>
                <w:noProof/>
                <w:webHidden/>
              </w:rPr>
            </w:r>
            <w:r>
              <w:rPr>
                <w:noProof/>
                <w:webHidden/>
              </w:rPr>
              <w:fldChar w:fldCharType="separate"/>
            </w:r>
            <w:r w:rsidR="0059295A">
              <w:rPr>
                <w:noProof/>
                <w:webHidden/>
              </w:rPr>
              <w:t>3</w:t>
            </w:r>
            <w:r>
              <w:rPr>
                <w:noProof/>
                <w:webHidden/>
              </w:rPr>
              <w:fldChar w:fldCharType="end"/>
            </w:r>
          </w:hyperlink>
        </w:p>
        <w:p w14:paraId="0D9A2FDD" w14:textId="10C3EC98" w:rsidR="00DA54CA" w:rsidRDefault="00DA54CA">
          <w:pPr>
            <w:pStyle w:val="TOC3"/>
            <w:tabs>
              <w:tab w:val="right" w:leader="dot" w:pos="9350"/>
            </w:tabs>
            <w:rPr>
              <w:rFonts w:eastAsiaTheme="minorEastAsia" w:cstheme="minorBidi"/>
              <w:noProof/>
              <w:szCs w:val="22"/>
            </w:rPr>
          </w:pPr>
          <w:hyperlink w:anchor="_Toc100908216" w:history="1">
            <w:r w:rsidRPr="002F4033">
              <w:rPr>
                <w:rStyle w:val="Hyperlink"/>
                <w:noProof/>
              </w:rPr>
              <w:t>Field Definitions</w:t>
            </w:r>
            <w:r>
              <w:rPr>
                <w:noProof/>
                <w:webHidden/>
              </w:rPr>
              <w:tab/>
            </w:r>
            <w:r>
              <w:rPr>
                <w:noProof/>
                <w:webHidden/>
              </w:rPr>
              <w:fldChar w:fldCharType="begin"/>
            </w:r>
            <w:r>
              <w:rPr>
                <w:noProof/>
                <w:webHidden/>
              </w:rPr>
              <w:instrText xml:space="preserve"> PAGEREF _Toc100908216 \h </w:instrText>
            </w:r>
            <w:r>
              <w:rPr>
                <w:noProof/>
                <w:webHidden/>
              </w:rPr>
            </w:r>
            <w:r>
              <w:rPr>
                <w:noProof/>
                <w:webHidden/>
              </w:rPr>
              <w:fldChar w:fldCharType="separate"/>
            </w:r>
            <w:r w:rsidR="0059295A">
              <w:rPr>
                <w:noProof/>
                <w:webHidden/>
              </w:rPr>
              <w:t>3</w:t>
            </w:r>
            <w:r>
              <w:rPr>
                <w:noProof/>
                <w:webHidden/>
              </w:rPr>
              <w:fldChar w:fldCharType="end"/>
            </w:r>
          </w:hyperlink>
        </w:p>
        <w:p w14:paraId="6F2ADC84" w14:textId="1EBE3643" w:rsidR="00DA54CA" w:rsidRDefault="00DA54CA">
          <w:pPr>
            <w:pStyle w:val="TOC1"/>
            <w:rPr>
              <w:rFonts w:eastAsiaTheme="minorEastAsia" w:cstheme="minorBidi"/>
              <w:noProof/>
              <w:szCs w:val="22"/>
            </w:rPr>
          </w:pPr>
          <w:hyperlink w:anchor="_Toc100908217" w:history="1">
            <w:r w:rsidRPr="002F4033">
              <w:rPr>
                <w:rStyle w:val="Hyperlink"/>
                <w:noProof/>
              </w:rPr>
              <w:t>Create N2WS (CPM) API Authentication Key</w:t>
            </w:r>
            <w:r>
              <w:rPr>
                <w:noProof/>
                <w:webHidden/>
              </w:rPr>
              <w:tab/>
            </w:r>
            <w:r>
              <w:rPr>
                <w:noProof/>
                <w:webHidden/>
              </w:rPr>
              <w:fldChar w:fldCharType="begin"/>
            </w:r>
            <w:r>
              <w:rPr>
                <w:noProof/>
                <w:webHidden/>
              </w:rPr>
              <w:instrText xml:space="preserve"> PAGEREF _Toc100908217 \h </w:instrText>
            </w:r>
            <w:r>
              <w:rPr>
                <w:noProof/>
                <w:webHidden/>
              </w:rPr>
            </w:r>
            <w:r>
              <w:rPr>
                <w:noProof/>
                <w:webHidden/>
              </w:rPr>
              <w:fldChar w:fldCharType="separate"/>
            </w:r>
            <w:r w:rsidR="0059295A">
              <w:rPr>
                <w:noProof/>
                <w:webHidden/>
              </w:rPr>
              <w:t>4</w:t>
            </w:r>
            <w:r>
              <w:rPr>
                <w:noProof/>
                <w:webHidden/>
              </w:rPr>
              <w:fldChar w:fldCharType="end"/>
            </w:r>
          </w:hyperlink>
        </w:p>
        <w:p w14:paraId="5A5AACBC" w14:textId="2D5A169C" w:rsidR="00DA54CA" w:rsidRDefault="00DA54CA">
          <w:pPr>
            <w:pStyle w:val="TOC3"/>
            <w:tabs>
              <w:tab w:val="right" w:leader="dot" w:pos="9350"/>
            </w:tabs>
            <w:rPr>
              <w:rFonts w:eastAsiaTheme="minorEastAsia" w:cstheme="minorBidi"/>
              <w:noProof/>
              <w:szCs w:val="22"/>
            </w:rPr>
          </w:pPr>
          <w:hyperlink w:anchor="_Toc100908218" w:history="1">
            <w:r w:rsidRPr="002F4033">
              <w:rPr>
                <w:rStyle w:val="Hyperlink"/>
                <w:noProof/>
              </w:rPr>
              <w:t>Create a delegate user</w:t>
            </w:r>
            <w:r>
              <w:rPr>
                <w:noProof/>
                <w:webHidden/>
              </w:rPr>
              <w:tab/>
            </w:r>
            <w:r>
              <w:rPr>
                <w:noProof/>
                <w:webHidden/>
              </w:rPr>
              <w:fldChar w:fldCharType="begin"/>
            </w:r>
            <w:r>
              <w:rPr>
                <w:noProof/>
                <w:webHidden/>
              </w:rPr>
              <w:instrText xml:space="preserve"> PAGEREF _Toc100908218 \h </w:instrText>
            </w:r>
            <w:r>
              <w:rPr>
                <w:noProof/>
                <w:webHidden/>
              </w:rPr>
            </w:r>
            <w:r>
              <w:rPr>
                <w:noProof/>
                <w:webHidden/>
              </w:rPr>
              <w:fldChar w:fldCharType="separate"/>
            </w:r>
            <w:r w:rsidR="0059295A">
              <w:rPr>
                <w:noProof/>
                <w:webHidden/>
              </w:rPr>
              <w:t>4</w:t>
            </w:r>
            <w:r>
              <w:rPr>
                <w:noProof/>
                <w:webHidden/>
              </w:rPr>
              <w:fldChar w:fldCharType="end"/>
            </w:r>
          </w:hyperlink>
        </w:p>
        <w:p w14:paraId="63A1A101" w14:textId="5BF3AF66" w:rsidR="00DA54CA" w:rsidRDefault="00DA54CA">
          <w:pPr>
            <w:pStyle w:val="TOC3"/>
            <w:tabs>
              <w:tab w:val="right" w:leader="dot" w:pos="9350"/>
            </w:tabs>
            <w:rPr>
              <w:rFonts w:eastAsiaTheme="minorEastAsia" w:cstheme="minorBidi"/>
              <w:noProof/>
              <w:szCs w:val="22"/>
            </w:rPr>
          </w:pPr>
          <w:hyperlink w:anchor="_Toc100908219" w:history="1">
            <w:r w:rsidRPr="002F4033">
              <w:rPr>
                <w:rStyle w:val="Hyperlink"/>
                <w:noProof/>
              </w:rPr>
              <w:t>Create an API Authentication key:</w:t>
            </w:r>
            <w:r>
              <w:rPr>
                <w:noProof/>
                <w:webHidden/>
              </w:rPr>
              <w:tab/>
            </w:r>
            <w:r>
              <w:rPr>
                <w:noProof/>
                <w:webHidden/>
              </w:rPr>
              <w:fldChar w:fldCharType="begin"/>
            </w:r>
            <w:r>
              <w:rPr>
                <w:noProof/>
                <w:webHidden/>
              </w:rPr>
              <w:instrText xml:space="preserve"> PAGEREF _Toc100908219 \h </w:instrText>
            </w:r>
            <w:r>
              <w:rPr>
                <w:noProof/>
                <w:webHidden/>
              </w:rPr>
            </w:r>
            <w:r>
              <w:rPr>
                <w:noProof/>
                <w:webHidden/>
              </w:rPr>
              <w:fldChar w:fldCharType="separate"/>
            </w:r>
            <w:r w:rsidR="0059295A">
              <w:rPr>
                <w:noProof/>
                <w:webHidden/>
              </w:rPr>
              <w:t>5</w:t>
            </w:r>
            <w:r>
              <w:rPr>
                <w:noProof/>
                <w:webHidden/>
              </w:rPr>
              <w:fldChar w:fldCharType="end"/>
            </w:r>
          </w:hyperlink>
        </w:p>
        <w:p w14:paraId="4AAA951B" w14:textId="4E5F53D4" w:rsidR="00DA54CA" w:rsidRDefault="00DA54CA">
          <w:pPr>
            <w:pStyle w:val="TOC1"/>
            <w:rPr>
              <w:rFonts w:eastAsiaTheme="minorEastAsia" w:cstheme="minorBidi"/>
              <w:noProof/>
              <w:szCs w:val="22"/>
            </w:rPr>
          </w:pPr>
          <w:hyperlink w:anchor="_Toc100908220" w:history="1">
            <w:r w:rsidRPr="002F4033">
              <w:rPr>
                <w:rStyle w:val="Hyperlink"/>
                <w:noProof/>
              </w:rPr>
              <w:t>Confirming AWS Access Key ID</w:t>
            </w:r>
            <w:r>
              <w:rPr>
                <w:noProof/>
                <w:webHidden/>
              </w:rPr>
              <w:tab/>
            </w:r>
            <w:r>
              <w:rPr>
                <w:noProof/>
                <w:webHidden/>
              </w:rPr>
              <w:fldChar w:fldCharType="begin"/>
            </w:r>
            <w:r>
              <w:rPr>
                <w:noProof/>
                <w:webHidden/>
              </w:rPr>
              <w:instrText xml:space="preserve"> PAGEREF _Toc100908220 \h </w:instrText>
            </w:r>
            <w:r>
              <w:rPr>
                <w:noProof/>
                <w:webHidden/>
              </w:rPr>
            </w:r>
            <w:r>
              <w:rPr>
                <w:noProof/>
                <w:webHidden/>
              </w:rPr>
              <w:fldChar w:fldCharType="separate"/>
            </w:r>
            <w:r w:rsidR="0059295A">
              <w:rPr>
                <w:noProof/>
                <w:webHidden/>
              </w:rPr>
              <w:t>5</w:t>
            </w:r>
            <w:r>
              <w:rPr>
                <w:noProof/>
                <w:webHidden/>
              </w:rPr>
              <w:fldChar w:fldCharType="end"/>
            </w:r>
          </w:hyperlink>
        </w:p>
        <w:p w14:paraId="0D26FC50" w14:textId="6E0D8A37" w:rsidR="00DA54CA" w:rsidRDefault="00DA54CA">
          <w:pPr>
            <w:pStyle w:val="TOC1"/>
            <w:rPr>
              <w:rFonts w:eastAsiaTheme="minorEastAsia" w:cstheme="minorBidi"/>
              <w:noProof/>
              <w:szCs w:val="22"/>
            </w:rPr>
          </w:pPr>
          <w:hyperlink w:anchor="_Toc100908221" w:history="1">
            <w:r w:rsidRPr="002F4033">
              <w:rPr>
                <w:rStyle w:val="Hyperlink"/>
                <w:noProof/>
              </w:rPr>
              <w:t>Reporting Notes</w:t>
            </w:r>
            <w:r>
              <w:rPr>
                <w:noProof/>
                <w:webHidden/>
              </w:rPr>
              <w:tab/>
            </w:r>
            <w:r>
              <w:rPr>
                <w:noProof/>
                <w:webHidden/>
              </w:rPr>
              <w:fldChar w:fldCharType="begin"/>
            </w:r>
            <w:r>
              <w:rPr>
                <w:noProof/>
                <w:webHidden/>
              </w:rPr>
              <w:instrText xml:space="preserve"> PAGEREF _Toc100908221 \h </w:instrText>
            </w:r>
            <w:r>
              <w:rPr>
                <w:noProof/>
                <w:webHidden/>
              </w:rPr>
            </w:r>
            <w:r>
              <w:rPr>
                <w:noProof/>
                <w:webHidden/>
              </w:rPr>
              <w:fldChar w:fldCharType="separate"/>
            </w:r>
            <w:r w:rsidR="0059295A">
              <w:rPr>
                <w:noProof/>
                <w:webHidden/>
              </w:rPr>
              <w:t>6</w:t>
            </w:r>
            <w:r>
              <w:rPr>
                <w:noProof/>
                <w:webHidden/>
              </w:rPr>
              <w:fldChar w:fldCharType="end"/>
            </w:r>
          </w:hyperlink>
        </w:p>
        <w:p w14:paraId="2BAA31D3" w14:textId="7232EE7B" w:rsidR="00DA54CA" w:rsidRDefault="00DA54CA">
          <w:pPr>
            <w:pStyle w:val="TOC1"/>
            <w:rPr>
              <w:rFonts w:eastAsiaTheme="minorEastAsia" w:cstheme="minorBidi"/>
              <w:noProof/>
              <w:szCs w:val="22"/>
            </w:rPr>
          </w:pPr>
          <w:hyperlink w:anchor="_Toc100908222" w:history="1">
            <w:r w:rsidRPr="002F4033">
              <w:rPr>
                <w:rStyle w:val="Hyperlink"/>
                <w:noProof/>
              </w:rPr>
              <w:t>Technical Support</w:t>
            </w:r>
            <w:r>
              <w:rPr>
                <w:noProof/>
                <w:webHidden/>
              </w:rPr>
              <w:tab/>
            </w:r>
            <w:r>
              <w:rPr>
                <w:noProof/>
                <w:webHidden/>
              </w:rPr>
              <w:fldChar w:fldCharType="begin"/>
            </w:r>
            <w:r>
              <w:rPr>
                <w:noProof/>
                <w:webHidden/>
              </w:rPr>
              <w:instrText xml:space="preserve"> PAGEREF _Toc100908222 \h </w:instrText>
            </w:r>
            <w:r>
              <w:rPr>
                <w:noProof/>
                <w:webHidden/>
              </w:rPr>
            </w:r>
            <w:r>
              <w:rPr>
                <w:noProof/>
                <w:webHidden/>
              </w:rPr>
              <w:fldChar w:fldCharType="separate"/>
            </w:r>
            <w:r w:rsidR="0059295A">
              <w:rPr>
                <w:noProof/>
                <w:webHidden/>
              </w:rPr>
              <w:t>7</w:t>
            </w:r>
            <w:r>
              <w:rPr>
                <w:noProof/>
                <w:webHidden/>
              </w:rPr>
              <w:fldChar w:fldCharType="end"/>
            </w:r>
          </w:hyperlink>
        </w:p>
        <w:p w14:paraId="1F196240" w14:textId="3B463E4D" w:rsidR="009D0CF8" w:rsidRDefault="009D0CF8" w:rsidP="00011168">
          <w:pPr>
            <w:spacing w:line="360" w:lineRule="auto"/>
          </w:pPr>
          <w:r w:rsidRPr="007244E1">
            <w:rPr>
              <w:rFonts w:cstheme="minorHAnsi"/>
              <w:b/>
              <w:bCs/>
              <w:noProof/>
              <w:szCs w:val="22"/>
            </w:rPr>
            <w:lastRenderedPageBreak/>
            <w:fldChar w:fldCharType="end"/>
          </w:r>
        </w:p>
      </w:sdtContent>
    </w:sdt>
    <w:p w14:paraId="2F84DD01" w14:textId="79DA2A27" w:rsidR="0056363C" w:rsidRDefault="006A034A" w:rsidP="00806CA5">
      <w:pPr>
        <w:pStyle w:val="Heading1"/>
      </w:pPr>
      <w:bookmarkStart w:id="2" w:name="_Toc509319667"/>
      <w:bookmarkStart w:id="3" w:name="_Toc509389750"/>
      <w:bookmarkStart w:id="4" w:name="_Toc509395265"/>
      <w:bookmarkStart w:id="5" w:name="_Toc510015562"/>
      <w:bookmarkStart w:id="6" w:name="_Toc510086337"/>
      <w:bookmarkStart w:id="7" w:name="_Toc100908208"/>
      <w:bookmarkEnd w:id="1"/>
      <w:bookmarkEnd w:id="0"/>
      <w:r>
        <w:t>N2WS (CPM)</w:t>
      </w:r>
      <w:r w:rsidR="0056363C">
        <w:t xml:space="preserve"> Configuration Checklist</w:t>
      </w:r>
      <w:bookmarkEnd w:id="2"/>
      <w:bookmarkEnd w:id="3"/>
      <w:bookmarkEnd w:id="4"/>
      <w:bookmarkEnd w:id="5"/>
      <w:bookmarkEnd w:id="6"/>
      <w:bookmarkEnd w:id="7"/>
    </w:p>
    <w:p w14:paraId="171F3FD7" w14:textId="57F34F65" w:rsidR="0056363C" w:rsidRDefault="00EE7238" w:rsidP="00011168">
      <w:r>
        <w:t>D</w:t>
      </w:r>
      <w:r w:rsidR="0056363C">
        <w:t xml:space="preserve">etailed </w:t>
      </w:r>
      <w:r>
        <w:t xml:space="preserve">preparation and installation </w:t>
      </w:r>
      <w:r w:rsidR="0056363C">
        <w:t xml:space="preserve">steps are included below, this is an overview of the steps to configure </w:t>
      </w:r>
      <w:r w:rsidR="006A034A">
        <w:rPr>
          <w:rFonts w:cstheme="minorHAnsi"/>
          <w:szCs w:val="22"/>
        </w:rPr>
        <w:t>N2WS (CPM)</w:t>
      </w:r>
      <w:r w:rsidR="0056363C">
        <w:t xml:space="preserve"> collections on your Bocada Data Collection Server:</w:t>
      </w:r>
    </w:p>
    <w:p w14:paraId="4683B8A5" w14:textId="464F7F30" w:rsidR="00783CE6" w:rsidRDefault="00783CE6" w:rsidP="00011168"/>
    <w:p w14:paraId="5FEB166D" w14:textId="3ADC33EB" w:rsidR="00CC10C1" w:rsidRPr="00CC10C1" w:rsidRDefault="006A034A" w:rsidP="00CC10C1">
      <w:pPr>
        <w:pStyle w:val="ListParagraph"/>
        <w:numPr>
          <w:ilvl w:val="0"/>
          <w:numId w:val="8"/>
        </w:numPr>
        <w:rPr>
          <w:szCs w:val="22"/>
        </w:rPr>
      </w:pPr>
      <w:r>
        <w:t>N2WS (CPM)</w:t>
      </w:r>
      <w:r w:rsidR="004E6BDD">
        <w:t xml:space="preserve"> </w:t>
      </w:r>
      <w:r w:rsidR="00CC10C1">
        <w:t>API authentication key</w:t>
      </w:r>
    </w:p>
    <w:p w14:paraId="58C82FFC" w14:textId="77777777" w:rsidR="00CC10C1" w:rsidRDefault="00CC10C1" w:rsidP="00CC10C1">
      <w:pPr>
        <w:pStyle w:val="ListParagraph"/>
        <w:numPr>
          <w:ilvl w:val="0"/>
          <w:numId w:val="8"/>
        </w:numPr>
      </w:pPr>
      <w:r>
        <w:t>AWS Access key I</w:t>
      </w:r>
      <w:bookmarkStart w:id="8" w:name="_Hlk510015612"/>
      <w:r>
        <w:t>D</w:t>
      </w:r>
    </w:p>
    <w:p w14:paraId="12E5AEF7" w14:textId="77777777" w:rsidR="00CC10C1" w:rsidRDefault="00CC10C1" w:rsidP="00CC10C1">
      <w:pPr>
        <w:pStyle w:val="ListParagraph"/>
        <w:numPr>
          <w:ilvl w:val="0"/>
          <w:numId w:val="8"/>
        </w:numPr>
      </w:pPr>
      <w:r>
        <w:t>AWS Secret access key</w:t>
      </w:r>
    </w:p>
    <w:p w14:paraId="4DFBBB06" w14:textId="70A2638F" w:rsidR="00783CE6" w:rsidRDefault="000D6A32" w:rsidP="00783CE6">
      <w:pPr>
        <w:pStyle w:val="ListParagraph"/>
        <w:numPr>
          <w:ilvl w:val="0"/>
          <w:numId w:val="8"/>
        </w:numPr>
      </w:pPr>
      <w:r>
        <w:t>E</w:t>
      </w:r>
      <w:r w:rsidR="00CC10C1">
        <w:t xml:space="preserve">nsure your Data Collection Server can reach the </w:t>
      </w:r>
      <w:r w:rsidR="006A034A">
        <w:t>N2WS (CPM)</w:t>
      </w:r>
      <w:r w:rsidR="00CC10C1">
        <w:t xml:space="preserve"> </w:t>
      </w:r>
      <w:r w:rsidR="007B6654">
        <w:t>Server</w:t>
      </w:r>
    </w:p>
    <w:p w14:paraId="6E1F7344" w14:textId="5FCA7F0F" w:rsidR="005E21AB" w:rsidRDefault="000D6A32" w:rsidP="00783CE6">
      <w:pPr>
        <w:pStyle w:val="ListParagraph"/>
        <w:numPr>
          <w:ilvl w:val="0"/>
          <w:numId w:val="8"/>
        </w:numPr>
      </w:pPr>
      <w:r>
        <w:t xml:space="preserve">Open Firewall </w:t>
      </w:r>
      <w:r w:rsidR="005E21AB">
        <w:t>Ports</w:t>
      </w:r>
    </w:p>
    <w:p w14:paraId="7BC23313" w14:textId="600A7612" w:rsidR="005944EB" w:rsidRDefault="005944EB" w:rsidP="00011168">
      <w:pPr>
        <w:pStyle w:val="Heading1"/>
      </w:pPr>
      <w:bookmarkStart w:id="9" w:name="_Toc100908209"/>
      <w:bookmarkEnd w:id="8"/>
      <w:r w:rsidRPr="005944EB">
        <w:t>Supported Collection Types</w:t>
      </w:r>
      <w:bookmarkEnd w:id="9"/>
    </w:p>
    <w:p w14:paraId="60389EA1" w14:textId="77777777" w:rsidR="005944EB" w:rsidRPr="005944EB" w:rsidRDefault="005944EB" w:rsidP="00011168"/>
    <w:p w14:paraId="79165CE5" w14:textId="744944CA" w:rsidR="008E765B" w:rsidRDefault="005944EB" w:rsidP="00011168">
      <w:pPr>
        <w:spacing w:line="276" w:lineRule="auto"/>
        <w:rPr>
          <w:rFonts w:cstheme="minorHAnsi"/>
          <w:szCs w:val="22"/>
        </w:rPr>
      </w:pPr>
      <w:r>
        <w:rPr>
          <w:rFonts w:cstheme="minorHAnsi"/>
          <w:szCs w:val="22"/>
        </w:rPr>
        <w:t xml:space="preserve">The plugin currently supports the following collection types from </w:t>
      </w:r>
      <w:r w:rsidR="006A034A">
        <w:rPr>
          <w:rFonts w:cstheme="minorHAnsi"/>
          <w:szCs w:val="22"/>
        </w:rPr>
        <w:t>N2WS (CPM)</w:t>
      </w:r>
      <w:r>
        <w:rPr>
          <w:rFonts w:cstheme="minorHAnsi"/>
          <w:szCs w:val="22"/>
        </w:rPr>
        <w:t xml:space="preserve"> servers</w:t>
      </w:r>
      <w:r w:rsidR="003E24C8">
        <w:rPr>
          <w:rFonts w:cstheme="minorHAnsi"/>
          <w:szCs w:val="22"/>
        </w:rPr>
        <w:t xml:space="preserve">, known as </w:t>
      </w:r>
      <w:r w:rsidR="003E24C8" w:rsidRPr="003E24C8">
        <w:rPr>
          <w:rFonts w:cstheme="minorHAnsi"/>
          <w:i/>
          <w:szCs w:val="22"/>
        </w:rPr>
        <w:t>nodes</w:t>
      </w:r>
      <w:r w:rsidR="003E24C8">
        <w:rPr>
          <w:rFonts w:cstheme="minorHAnsi"/>
          <w:szCs w:val="22"/>
        </w:rPr>
        <w:t xml:space="preserve"> in </w:t>
      </w:r>
      <w:r w:rsidR="006A034A">
        <w:rPr>
          <w:rFonts w:cstheme="minorHAnsi"/>
          <w:szCs w:val="22"/>
        </w:rPr>
        <w:t>N2WS (CPM)</w:t>
      </w:r>
      <w:r w:rsidR="003E24C8">
        <w:rPr>
          <w:rFonts w:cstheme="minorHAnsi"/>
          <w:szCs w:val="22"/>
        </w:rPr>
        <w:t>:</w:t>
      </w:r>
    </w:p>
    <w:tbl>
      <w:tblPr>
        <w:tblW w:w="9320" w:type="dxa"/>
        <w:tblInd w:w="93" w:type="dxa"/>
        <w:tblLook w:val="04A0" w:firstRow="1" w:lastRow="0" w:firstColumn="1" w:lastColumn="0" w:noHBand="0" w:noVBand="1"/>
      </w:tblPr>
      <w:tblGrid>
        <w:gridCol w:w="1694"/>
        <w:gridCol w:w="1263"/>
        <w:gridCol w:w="6363"/>
      </w:tblGrid>
      <w:tr w:rsidR="008E765B" w:rsidRPr="005944EB" w14:paraId="169EEFB3" w14:textId="77777777" w:rsidTr="1A32C70E">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011168">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011168">
            <w:pPr>
              <w:jc w:val="center"/>
              <w:rPr>
                <w:rFonts w:ascii="Calibri" w:hAnsi="Calibri" w:cs="Calibri"/>
                <w:b/>
                <w:bCs/>
                <w:color w:val="FFFFFF"/>
              </w:rPr>
            </w:pPr>
            <w:r w:rsidRPr="005944EB">
              <w:rPr>
                <w:rFonts w:ascii="Calibri" w:hAnsi="Calibri" w:cs="Calibri"/>
                <w:b/>
                <w:bCs/>
                <w:color w:val="FFFFFF"/>
              </w:rPr>
              <w:t>Supported</w:t>
            </w:r>
          </w:p>
        </w:tc>
        <w:tc>
          <w:tcPr>
            <w:tcW w:w="63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011168">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1A32C70E">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51BD68BA" w:rsidR="008E765B" w:rsidRPr="005944EB" w:rsidRDefault="008E765B" w:rsidP="00011168">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011168">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77777777" w:rsidR="008E765B" w:rsidRPr="005944EB" w:rsidRDefault="008E765B" w:rsidP="00011168">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008E765B" w:rsidRPr="005944EB" w14:paraId="702D97F3" w14:textId="77777777" w:rsidTr="1A32C70E">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656ABCD2" w:rsidR="008E765B" w:rsidRPr="005944EB" w:rsidRDefault="77EDD3A0" w:rsidP="1A32C70E">
            <w:pPr>
              <w:rPr>
                <w:rFonts w:ascii="Calibri" w:hAnsi="Calibri" w:cs="Calibri"/>
                <w:color w:val="000000"/>
              </w:rPr>
            </w:pPr>
            <w:r w:rsidRPr="1A32C70E">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3E8B1E24" w:rsidR="008E765B" w:rsidRPr="005944EB" w:rsidRDefault="008E765B" w:rsidP="00011168">
            <w:pPr>
              <w:jc w:val="center"/>
              <w:rPr>
                <w:rFonts w:ascii="Calibri" w:hAnsi="Calibri" w:cs="Calibri"/>
                <w:color w:val="000000"/>
                <w:szCs w:val="22"/>
              </w:rPr>
            </w:pP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1AF1AC8F" w:rsidR="008E765B" w:rsidRPr="005944EB" w:rsidRDefault="60B70D1A" w:rsidP="1A32C70E">
            <w:pPr>
              <w:rPr>
                <w:rFonts w:ascii="Calibri" w:hAnsi="Calibri" w:cs="Calibri"/>
                <w:color w:val="000000"/>
              </w:rPr>
            </w:pPr>
            <w:r w:rsidRPr="1A32C70E">
              <w:rPr>
                <w:rFonts w:ascii="Calibri" w:hAnsi="Calibri" w:cs="Calibri"/>
                <w:color w:val="000000" w:themeColor="text1"/>
              </w:rPr>
              <w:t>Collects point-in-</w:t>
            </w:r>
            <w:r w:rsidR="3D4C403A" w:rsidRPr="1A32C70E">
              <w:rPr>
                <w:rFonts w:ascii="Calibri" w:hAnsi="Calibri" w:cs="Calibri"/>
                <w:color w:val="000000" w:themeColor="text1"/>
              </w:rPr>
              <w:t>time inventory information. Example metrics include, total recoverable gigabytes (</w:t>
            </w:r>
            <w:r w:rsidR="1AE6BDB3" w:rsidRPr="1A32C70E">
              <w:rPr>
                <w:rFonts w:ascii="Calibri" w:hAnsi="Calibri" w:cs="Calibri"/>
                <w:color w:val="000000" w:themeColor="text1"/>
              </w:rPr>
              <w:t>storage</w:t>
            </w:r>
            <w:r w:rsidR="3D4C403A" w:rsidRPr="1A32C70E">
              <w:rPr>
                <w:rFonts w:ascii="Calibri" w:hAnsi="Calibri" w:cs="Calibri"/>
                <w:color w:val="000000" w:themeColor="text1"/>
              </w:rPr>
              <w:t>), media volume count, media volume status, etc.</w:t>
            </w:r>
          </w:p>
        </w:tc>
      </w:tr>
      <w:tr w:rsidR="008E765B" w:rsidRPr="005944EB" w14:paraId="00C2ADE9" w14:textId="77777777" w:rsidTr="1A32C70E">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202B3599" w14:textId="77777777" w:rsidR="008E765B" w:rsidRPr="005944EB" w:rsidRDefault="008E765B" w:rsidP="00011168">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34B3ECD9" w14:textId="62A43CCD" w:rsidR="008E765B" w:rsidRPr="005944EB" w:rsidRDefault="008E765B" w:rsidP="00011168">
            <w:pPr>
              <w:jc w:val="center"/>
              <w:rPr>
                <w:rFonts w:ascii="Calibri" w:hAnsi="Calibri" w:cs="Calibri"/>
                <w:color w:val="000000"/>
                <w:szCs w:val="22"/>
              </w:rPr>
            </w:pP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7592187F" w14:textId="77777777" w:rsidR="008E765B" w:rsidRPr="005944EB" w:rsidRDefault="008E765B" w:rsidP="00011168">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336B2BD6" w14:textId="0F6F472B" w:rsidR="00FC0DE4" w:rsidRPr="00FC0DE4" w:rsidRDefault="005944EB" w:rsidP="00011168">
      <w:pPr>
        <w:pStyle w:val="Heading1"/>
      </w:pPr>
      <w:bookmarkStart w:id="10" w:name="_Toc100908210"/>
      <w:r>
        <w:t>Data Sources</w:t>
      </w:r>
      <w:bookmarkEnd w:id="10"/>
    </w:p>
    <w:p w14:paraId="104905DB" w14:textId="027E332A" w:rsidR="00071FCE" w:rsidRDefault="00071FCE" w:rsidP="00011168">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6A034A">
        <w:rPr>
          <w:rFonts w:cstheme="minorHAnsi"/>
          <w:color w:val="000000"/>
          <w:szCs w:val="22"/>
        </w:rPr>
        <w:t>N2WS (CPM)</w:t>
      </w:r>
      <w:r w:rsidRPr="00071FCE">
        <w:rPr>
          <w:rFonts w:cstheme="minorHAnsi"/>
          <w:szCs w:val="22"/>
        </w:rPr>
        <w:t xml:space="preserve"> data so</w:t>
      </w:r>
      <w:r w:rsidR="00CC10C1">
        <w:rPr>
          <w:rFonts w:cstheme="minorHAnsi"/>
          <w:szCs w:val="22"/>
        </w:rPr>
        <w:t>urces</w:t>
      </w:r>
      <w:r w:rsidR="00783CE6">
        <w:rPr>
          <w:rFonts w:cstheme="minorHAnsi"/>
          <w:szCs w:val="22"/>
        </w:rPr>
        <w:t>:</w:t>
      </w:r>
    </w:p>
    <w:p w14:paraId="651A1C4C" w14:textId="6E66C727" w:rsidR="00212575" w:rsidRPr="007B6654" w:rsidRDefault="006A034A" w:rsidP="003C05A7">
      <w:pPr>
        <w:pStyle w:val="ListParagraph"/>
        <w:numPr>
          <w:ilvl w:val="0"/>
          <w:numId w:val="13"/>
        </w:numPr>
        <w:rPr>
          <w:rFonts w:eastAsia="MS PMincho"/>
          <w:b/>
        </w:rPr>
      </w:pPr>
      <w:r>
        <w:t>N2WS (CPM)</w:t>
      </w:r>
      <w:r w:rsidR="00CC10C1">
        <w:t xml:space="preserve"> </w:t>
      </w:r>
      <w:r w:rsidR="00351AF2">
        <w:t xml:space="preserve">REST </w:t>
      </w:r>
      <w:r w:rsidR="00CC10C1">
        <w:t>API</w:t>
      </w:r>
    </w:p>
    <w:p w14:paraId="3658DF4C" w14:textId="3F2CE4FB" w:rsidR="007B6654" w:rsidRPr="007B6654" w:rsidRDefault="007B6654" w:rsidP="003C05A7">
      <w:pPr>
        <w:pStyle w:val="ListParagraph"/>
        <w:numPr>
          <w:ilvl w:val="0"/>
          <w:numId w:val="13"/>
        </w:numPr>
      </w:pPr>
      <w:r w:rsidRPr="007B6654">
        <w:t>AWS Rest API</w:t>
      </w:r>
    </w:p>
    <w:p w14:paraId="50A65FDC" w14:textId="1C97AB38" w:rsidR="00545A57" w:rsidRPr="00545A57" w:rsidRDefault="005944EB" w:rsidP="00011168">
      <w:pPr>
        <w:pStyle w:val="Heading1"/>
      </w:pPr>
      <w:bookmarkStart w:id="11" w:name="_Toc100908211"/>
      <w:r w:rsidRPr="007244E1">
        <w:t>Requirements</w:t>
      </w:r>
      <w:bookmarkEnd w:id="11"/>
    </w:p>
    <w:p w14:paraId="444B93CF" w14:textId="43C39ABA" w:rsidR="004F687B" w:rsidRDefault="00657449" w:rsidP="00011168">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w:t>
      </w:r>
      <w:r w:rsidR="00107B3D">
        <w:rPr>
          <w:rFonts w:cstheme="minorHAnsi"/>
          <w:color w:val="000000"/>
          <w:szCs w:val="22"/>
        </w:rPr>
        <w:t xml:space="preserve">e following are required to collect </w:t>
      </w:r>
      <w:r>
        <w:rPr>
          <w:rFonts w:cstheme="minorHAnsi"/>
          <w:color w:val="000000"/>
          <w:szCs w:val="22"/>
        </w:rPr>
        <w:t xml:space="preserve">data with the </w:t>
      </w:r>
      <w:r w:rsidR="00895B75">
        <w:rPr>
          <w:rFonts w:cstheme="minorHAnsi"/>
          <w:color w:val="000000"/>
          <w:szCs w:val="22"/>
        </w:rPr>
        <w:t>Bocada</w:t>
      </w:r>
      <w:r>
        <w:rPr>
          <w:rFonts w:cstheme="minorHAnsi"/>
          <w:color w:val="000000"/>
          <w:szCs w:val="22"/>
        </w:rPr>
        <w:t xml:space="preserve"> plugin for </w:t>
      </w:r>
      <w:r w:rsidR="006A034A">
        <w:rPr>
          <w:rFonts w:cstheme="minorHAnsi"/>
          <w:color w:val="000000"/>
          <w:szCs w:val="22"/>
        </w:rPr>
        <w:t>N2WS (CPM)</w:t>
      </w:r>
      <w:r w:rsidR="00107B3D">
        <w:rPr>
          <w:rFonts w:cstheme="minorHAnsi"/>
          <w:color w:val="000000"/>
          <w:szCs w:val="22"/>
        </w:rPr>
        <w:t>:</w:t>
      </w:r>
    </w:p>
    <w:p w14:paraId="218D12EA" w14:textId="3D478DE8" w:rsidR="00607343" w:rsidRDefault="00607343" w:rsidP="00607343">
      <w:pPr>
        <w:pStyle w:val="Heading3"/>
      </w:pPr>
      <w:bookmarkStart w:id="12" w:name="_Toc100908212"/>
      <w:r>
        <w:t>Access Keys</w:t>
      </w:r>
      <w:bookmarkEnd w:id="12"/>
    </w:p>
    <w:p w14:paraId="332601CF" w14:textId="2F0FBEE1" w:rsidR="00107B3D" w:rsidRPr="001F5882" w:rsidRDefault="00B55641" w:rsidP="003C05A7">
      <w:pPr>
        <w:pStyle w:val="ListParagraph"/>
        <w:numPr>
          <w:ilvl w:val="0"/>
          <w:numId w:val="17"/>
        </w:numPr>
      </w:pPr>
      <w:hyperlink w:anchor="_Appendix_A:_Avoiding" w:history="1">
        <w:r w:rsidR="006A034A">
          <w:rPr>
            <w:rStyle w:val="Hyperlink"/>
            <w:rFonts w:eastAsiaTheme="majorEastAsia"/>
          </w:rPr>
          <w:t>N2WS (CPM)</w:t>
        </w:r>
        <w:r w:rsidR="000D6A32" w:rsidRPr="00AB6F40">
          <w:rPr>
            <w:rStyle w:val="Hyperlink"/>
            <w:rFonts w:eastAsiaTheme="majorEastAsia"/>
          </w:rPr>
          <w:t xml:space="preserve"> </w:t>
        </w:r>
        <w:r w:rsidR="00107B3D" w:rsidRPr="00AB6F40">
          <w:rPr>
            <w:rStyle w:val="Hyperlink"/>
            <w:rFonts w:eastAsiaTheme="majorEastAsia"/>
          </w:rPr>
          <w:t>API authentication key</w:t>
        </w:r>
        <w:r w:rsidR="00AB6F40" w:rsidRPr="00AB6F40">
          <w:rPr>
            <w:rStyle w:val="Hyperlink"/>
            <w:rFonts w:eastAsiaTheme="majorEastAsia"/>
          </w:rPr>
          <w:t xml:space="preserve"> </w:t>
        </w:r>
      </w:hyperlink>
      <w:r w:rsidR="00AB6F40" w:rsidRPr="00AB6F40">
        <w:rPr>
          <w:rFonts w:eastAsiaTheme="majorEastAsia"/>
        </w:rPr>
        <w:t xml:space="preserve"> (</w:t>
      </w:r>
      <w:r w:rsidR="006A034A">
        <w:rPr>
          <w:rFonts w:eastAsiaTheme="majorEastAsia"/>
        </w:rPr>
        <w:t>N2WS</w:t>
      </w:r>
      <w:r w:rsidR="00AB6F40" w:rsidRPr="00AB6F40">
        <w:rPr>
          <w:rFonts w:eastAsiaTheme="majorEastAsia"/>
        </w:rPr>
        <w:t xml:space="preserve"> Delegate User)</w:t>
      </w:r>
    </w:p>
    <w:p w14:paraId="1E8F3AB0" w14:textId="63ABBEAC" w:rsidR="00107B3D" w:rsidRPr="003C05A7" w:rsidRDefault="00B55641" w:rsidP="003C05A7">
      <w:pPr>
        <w:pStyle w:val="ListParagraph"/>
        <w:numPr>
          <w:ilvl w:val="0"/>
          <w:numId w:val="17"/>
        </w:numPr>
      </w:pPr>
      <w:hyperlink w:anchor="_Confirming_AWS_Access" w:history="1">
        <w:r w:rsidR="00107B3D" w:rsidRPr="003C05A7">
          <w:rPr>
            <w:rStyle w:val="Hyperlink"/>
            <w:rFonts w:eastAsiaTheme="majorEastAsia"/>
          </w:rPr>
          <w:t>AWS Access key ID</w:t>
        </w:r>
      </w:hyperlink>
      <w:r w:rsidR="000D6A32">
        <w:rPr>
          <w:rFonts w:eastAsiaTheme="majorEastAsia"/>
        </w:rPr>
        <w:t xml:space="preserve"> (</w:t>
      </w:r>
      <w:r w:rsidR="00AB6F40">
        <w:rPr>
          <w:rFonts w:eastAsiaTheme="majorEastAsia"/>
        </w:rPr>
        <w:t xml:space="preserve">AWS User with IAM </w:t>
      </w:r>
      <w:r w:rsidR="006A034A">
        <w:rPr>
          <w:rFonts w:eastAsiaTheme="majorEastAsia"/>
        </w:rPr>
        <w:t>N2WS</w:t>
      </w:r>
      <w:r w:rsidR="000D6A32">
        <w:rPr>
          <w:rFonts w:eastAsiaTheme="majorEastAsia"/>
        </w:rPr>
        <w:t xml:space="preserve"> </w:t>
      </w:r>
      <w:r w:rsidR="00AB6F40">
        <w:rPr>
          <w:rFonts w:eastAsiaTheme="majorEastAsia"/>
        </w:rPr>
        <w:t>Policies permission</w:t>
      </w:r>
      <w:r w:rsidR="000D6A32">
        <w:rPr>
          <w:rFonts w:eastAsiaTheme="majorEastAsia"/>
        </w:rPr>
        <w:t>)</w:t>
      </w:r>
    </w:p>
    <w:p w14:paraId="74586BB5" w14:textId="2BC2E9CD" w:rsidR="000D6A32" w:rsidRPr="00607343" w:rsidRDefault="00107B3D" w:rsidP="00607343">
      <w:pPr>
        <w:pStyle w:val="ListParagraph"/>
        <w:numPr>
          <w:ilvl w:val="0"/>
          <w:numId w:val="17"/>
        </w:numPr>
        <w:rPr>
          <w:rFonts w:cstheme="majorBidi"/>
        </w:rPr>
      </w:pPr>
      <w:r w:rsidRPr="00107B3D">
        <w:rPr>
          <w:rFonts w:eastAsiaTheme="majorEastAsia"/>
        </w:rPr>
        <w:t xml:space="preserve">AWS Secret </w:t>
      </w:r>
      <w:r w:rsidR="000D6A32">
        <w:rPr>
          <w:rFonts w:eastAsiaTheme="majorEastAsia"/>
        </w:rPr>
        <w:t>A</w:t>
      </w:r>
      <w:r w:rsidRPr="00107B3D">
        <w:rPr>
          <w:rFonts w:eastAsiaTheme="majorEastAsia"/>
        </w:rPr>
        <w:t>ccess key</w:t>
      </w:r>
      <w:r w:rsidR="000D6A32">
        <w:rPr>
          <w:rFonts w:eastAsiaTheme="majorEastAsia"/>
        </w:rPr>
        <w:t xml:space="preserve"> (for above </w:t>
      </w:r>
      <w:r w:rsidR="00AB6F40">
        <w:rPr>
          <w:rFonts w:eastAsiaTheme="majorEastAsia"/>
        </w:rPr>
        <w:t>AWS A</w:t>
      </w:r>
      <w:r w:rsidR="000D6A32">
        <w:rPr>
          <w:rFonts w:eastAsiaTheme="majorEastAsia"/>
        </w:rPr>
        <w:t xml:space="preserve">ccess </w:t>
      </w:r>
      <w:r w:rsidR="00AB6F40">
        <w:rPr>
          <w:rFonts w:eastAsiaTheme="majorEastAsia"/>
        </w:rPr>
        <w:t>K</w:t>
      </w:r>
      <w:r w:rsidR="000D6A32">
        <w:rPr>
          <w:rFonts w:eastAsiaTheme="majorEastAsia"/>
        </w:rPr>
        <w:t>ey</w:t>
      </w:r>
      <w:r w:rsidR="00AB6F40">
        <w:rPr>
          <w:rFonts w:eastAsiaTheme="majorEastAsia"/>
        </w:rPr>
        <w:t xml:space="preserve"> ID</w:t>
      </w:r>
      <w:r w:rsidR="000D6A32">
        <w:rPr>
          <w:rFonts w:eastAsiaTheme="majorEastAsia"/>
        </w:rPr>
        <w:t>)</w:t>
      </w:r>
    </w:p>
    <w:p w14:paraId="5F60EBC3" w14:textId="1C3F2702" w:rsidR="000D6A32" w:rsidRDefault="000D6A32" w:rsidP="00607343">
      <w:pPr>
        <w:pStyle w:val="Heading3"/>
        <w:rPr>
          <w:rStyle w:val="Heading3Char"/>
          <w:i/>
          <w:iCs/>
          <w:sz w:val="22"/>
        </w:rPr>
      </w:pPr>
      <w:bookmarkStart w:id="13" w:name="_Toc100908213"/>
      <w:r w:rsidRPr="003C05A7">
        <w:lastRenderedPageBreak/>
        <w:t>Firewall Ports</w:t>
      </w:r>
      <w:bookmarkStart w:id="14" w:name="_Toc436725389"/>
      <w:bookmarkEnd w:id="13"/>
    </w:p>
    <w:p w14:paraId="51D60352" w14:textId="389D3D0F" w:rsidR="004868EE" w:rsidRPr="004868EE" w:rsidRDefault="004868EE" w:rsidP="00195F30">
      <w:pPr>
        <w:keepLines/>
        <w:rPr>
          <w:rFonts w:asciiTheme="majorHAnsi" w:hAnsiTheme="majorHAnsi" w:cstheme="majorBidi"/>
        </w:rPr>
      </w:pPr>
      <w:r w:rsidRPr="004868EE">
        <w:t xml:space="preserve">The </w:t>
      </w:r>
      <w:bookmarkEnd w:id="14"/>
      <w:r w:rsidRPr="004868EE">
        <w:rPr>
          <w:rFonts w:ascii="Calibri" w:hAnsi="Calibri" w:cs="Calibri"/>
          <w:color w:val="000000"/>
          <w:sz w:val="23"/>
          <w:szCs w:val="23"/>
        </w:rPr>
        <w:t xml:space="preserve">Bocada Data Collection Server must be able to connect to the </w:t>
      </w:r>
      <w:r w:rsidR="006A034A">
        <w:rPr>
          <w:rFonts w:ascii="Calibri" w:hAnsi="Calibri" w:cs="Calibri"/>
          <w:color w:val="000000"/>
          <w:sz w:val="23"/>
          <w:szCs w:val="23"/>
        </w:rPr>
        <w:t>N2WS (CPM)</w:t>
      </w:r>
      <w:r w:rsidRPr="004868EE">
        <w:rPr>
          <w:rFonts w:ascii="Calibri" w:hAnsi="Calibri" w:cs="Calibri"/>
          <w:color w:val="000000"/>
          <w:sz w:val="23"/>
          <w:szCs w:val="23"/>
        </w:rPr>
        <w:t xml:space="preserve"> Server on </w:t>
      </w:r>
      <w:r w:rsidR="002F531F">
        <w:rPr>
          <w:rFonts w:ascii="Calibri" w:hAnsi="Calibri" w:cs="Calibri"/>
          <w:color w:val="000000"/>
          <w:sz w:val="23"/>
          <w:szCs w:val="23"/>
        </w:rPr>
        <w:t>these ports</w:t>
      </w:r>
      <w:r w:rsidRPr="004868EE">
        <w:rPr>
          <w:rFonts w:ascii="Calibri" w:hAnsi="Calibri" w:cs="Calibri"/>
          <w:color w:val="000000"/>
          <w:sz w:val="23"/>
          <w:szCs w:val="23"/>
        </w:rPr>
        <w:t>:</w:t>
      </w:r>
      <w:r>
        <w:rPr>
          <w:rFonts w:ascii="Calibri" w:hAnsi="Calibri" w:cs="Calibri"/>
          <w:color w:val="000000"/>
          <w:sz w:val="23"/>
          <w:szCs w:val="23"/>
        </w:rPr>
        <w:t xml:space="preserve"> </w:t>
      </w:r>
    </w:p>
    <w:tbl>
      <w:tblPr>
        <w:tblW w:w="9140" w:type="dxa"/>
        <w:tblInd w:w="-5" w:type="dxa"/>
        <w:tblLook w:val="04A0" w:firstRow="1" w:lastRow="0" w:firstColumn="1" w:lastColumn="0" w:noHBand="0" w:noVBand="1"/>
      </w:tblPr>
      <w:tblGrid>
        <w:gridCol w:w="2480"/>
        <w:gridCol w:w="2220"/>
        <w:gridCol w:w="4440"/>
      </w:tblGrid>
      <w:tr w:rsidR="004868EE" w:rsidRPr="00846B95" w14:paraId="2A3DBDE0" w14:textId="77777777" w:rsidTr="00CA6135">
        <w:trPr>
          <w:cantSplit/>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674E4D80" w14:textId="77777777" w:rsidR="004868EE" w:rsidRPr="00846B95" w:rsidRDefault="004868EE" w:rsidP="00195F30">
            <w:pPr>
              <w:keepLines/>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42000BD4" w14:textId="77777777" w:rsidR="004868EE" w:rsidRPr="00846B95" w:rsidRDefault="004868EE" w:rsidP="00195F30">
            <w:pPr>
              <w:keepLines/>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16D2A62D" w14:textId="77777777" w:rsidR="004868EE" w:rsidRPr="00846B95" w:rsidRDefault="004868EE" w:rsidP="00195F30">
            <w:pPr>
              <w:keepLines/>
              <w:jc w:val="center"/>
              <w:rPr>
                <w:b/>
                <w:bCs/>
                <w:color w:val="000000"/>
              </w:rPr>
            </w:pPr>
            <w:r w:rsidRPr="00846B95">
              <w:rPr>
                <w:b/>
                <w:bCs/>
                <w:color w:val="000000"/>
              </w:rPr>
              <w:t>Note</w:t>
            </w:r>
          </w:p>
        </w:tc>
      </w:tr>
      <w:tr w:rsidR="004868EE" w:rsidRPr="00846B95" w14:paraId="5CA8F940" w14:textId="77777777" w:rsidTr="00CA6135">
        <w:trPr>
          <w:cantSplit/>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B6CB3C6" w14:textId="25AA4DB5" w:rsidR="004868EE" w:rsidRPr="00846B95" w:rsidRDefault="004868EE" w:rsidP="00195F30">
            <w:pPr>
              <w:keepLines/>
              <w:jc w:val="center"/>
              <w:rPr>
                <w:i/>
                <w:iCs/>
              </w:rPr>
            </w:pPr>
            <w:r w:rsidRPr="00846B95">
              <w:rPr>
                <w:i/>
                <w:iCs/>
              </w:rPr>
              <w:t>HTTPS</w:t>
            </w:r>
          </w:p>
        </w:tc>
        <w:tc>
          <w:tcPr>
            <w:tcW w:w="2220" w:type="dxa"/>
            <w:tcBorders>
              <w:top w:val="nil"/>
              <w:left w:val="nil"/>
              <w:bottom w:val="single" w:sz="4" w:space="0" w:color="auto"/>
              <w:right w:val="single" w:sz="4" w:space="0" w:color="auto"/>
            </w:tcBorders>
            <w:shd w:val="clear" w:color="auto" w:fill="auto"/>
            <w:vAlign w:val="center"/>
            <w:hideMark/>
          </w:tcPr>
          <w:p w14:paraId="4439AFD6" w14:textId="1173D659" w:rsidR="004868EE" w:rsidRPr="00846B95" w:rsidRDefault="004868EE" w:rsidP="00195F30">
            <w:pPr>
              <w:keepLines/>
              <w:jc w:val="center"/>
              <w:rPr>
                <w:color w:val="000000"/>
              </w:rPr>
            </w:pPr>
            <w:r w:rsidRPr="00846B95">
              <w:rPr>
                <w:color w:val="000000"/>
              </w:rPr>
              <w:t> </w:t>
            </w:r>
            <w:r>
              <w:rPr>
                <w:color w:val="000000"/>
              </w:rPr>
              <w:t>443 TCP</w:t>
            </w:r>
          </w:p>
        </w:tc>
        <w:tc>
          <w:tcPr>
            <w:tcW w:w="4440" w:type="dxa"/>
            <w:tcBorders>
              <w:top w:val="nil"/>
              <w:left w:val="nil"/>
              <w:bottom w:val="single" w:sz="4" w:space="0" w:color="auto"/>
              <w:right w:val="single" w:sz="4" w:space="0" w:color="auto"/>
            </w:tcBorders>
            <w:shd w:val="clear" w:color="auto" w:fill="auto"/>
            <w:noWrap/>
            <w:vAlign w:val="bottom"/>
            <w:hideMark/>
          </w:tcPr>
          <w:p w14:paraId="741B76C9" w14:textId="12D36A7E" w:rsidR="004868EE" w:rsidRPr="00846B95" w:rsidRDefault="00B947D8" w:rsidP="00195F30">
            <w:pPr>
              <w:keepLines/>
              <w:jc w:val="center"/>
              <w:rPr>
                <w:color w:val="000000"/>
              </w:rPr>
            </w:pPr>
            <w:r>
              <w:rPr>
                <w:color w:val="000000"/>
              </w:rPr>
              <w:t>-</w:t>
            </w:r>
          </w:p>
        </w:tc>
      </w:tr>
    </w:tbl>
    <w:p w14:paraId="0BFA83B0" w14:textId="30140371" w:rsidR="000364E0" w:rsidRDefault="000364E0" w:rsidP="00011168">
      <w:pPr>
        <w:pStyle w:val="Heading1"/>
      </w:pPr>
      <w:bookmarkStart w:id="15" w:name="_Toc100908214"/>
      <w:r>
        <w:t>Setup</w:t>
      </w:r>
      <w:bookmarkEnd w:id="15"/>
    </w:p>
    <w:p w14:paraId="249AA9BE" w14:textId="77777777" w:rsidR="000364E0" w:rsidRPr="00F65AA0" w:rsidRDefault="000364E0" w:rsidP="00011168">
      <w:pPr>
        <w:pStyle w:val="Heading3"/>
      </w:pPr>
      <w:bookmarkStart w:id="16" w:name="_Toc352859759"/>
      <w:bookmarkStart w:id="17" w:name="_Toc366510043"/>
      <w:bookmarkStart w:id="18" w:name="_Toc100908215"/>
      <w:r w:rsidRPr="00F65AA0">
        <w:t>Server Properties</w:t>
      </w:r>
      <w:bookmarkEnd w:id="16"/>
      <w:bookmarkEnd w:id="17"/>
      <w:bookmarkEnd w:id="18"/>
    </w:p>
    <w:p w14:paraId="21706B33" w14:textId="06B70505" w:rsidR="00492B89" w:rsidRDefault="00492B89" w:rsidP="00492B89">
      <w:pPr>
        <w:rPr>
          <w:rFonts w:eastAsia="MS PGothic" w:cstheme="minorHAnsi"/>
          <w:color w:val="000000"/>
          <w:szCs w:val="22"/>
        </w:rPr>
      </w:pPr>
      <w:bookmarkStart w:id="19" w:name="_Toc366585565"/>
      <w:r w:rsidRPr="00492B89">
        <w:rPr>
          <w:rFonts w:eastAsia="MS PGothic" w:cstheme="minorHAnsi"/>
          <w:color w:val="000000"/>
          <w:szCs w:val="22"/>
        </w:rPr>
        <w:t xml:space="preserve">Backup Server Properties determine how the plugin will interface with </w:t>
      </w:r>
      <w:r w:rsidR="006A034A">
        <w:rPr>
          <w:rFonts w:eastAsia="MS PGothic" w:cstheme="minorHAnsi"/>
          <w:color w:val="000000"/>
          <w:szCs w:val="22"/>
        </w:rPr>
        <w:t>N2WS (CPM)</w:t>
      </w:r>
      <w:r>
        <w:rPr>
          <w:rFonts w:eastAsia="MS PGothic" w:cstheme="minorHAnsi"/>
          <w:color w:val="000000"/>
          <w:szCs w:val="22"/>
        </w:rPr>
        <w:t xml:space="preserve"> and AWS </w:t>
      </w:r>
      <w:r w:rsidRPr="00492B89">
        <w:rPr>
          <w:rFonts w:eastAsia="MS PGothic" w:cstheme="minorHAnsi"/>
          <w:color w:val="000000"/>
          <w:szCs w:val="22"/>
        </w:rPr>
        <w:t>and are managed through the Backup Servers view.</w:t>
      </w:r>
    </w:p>
    <w:p w14:paraId="210D0A90" w14:textId="70CD46BC" w:rsidR="00212575" w:rsidRPr="00212575" w:rsidRDefault="001E5BD3" w:rsidP="00492B89">
      <w:pPr>
        <w:jc w:val="center"/>
      </w:pPr>
      <w:r>
        <w:rPr>
          <w:noProof/>
        </w:rPr>
        <w:drawing>
          <wp:inline distT="0" distB="0" distL="0" distR="0" wp14:anchorId="5DA68606" wp14:editId="3AB52D7C">
            <wp:extent cx="5229225" cy="2714625"/>
            <wp:effectExtent l="114300" t="95250" r="123825"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2714625"/>
                    </a:xfrm>
                    <a:prstGeom prst="rect">
                      <a:avLst/>
                    </a:prstGeom>
                    <a:effectLst>
                      <a:outerShdw blurRad="63500" sx="102000" sy="102000" algn="ctr" rotWithShape="0">
                        <a:prstClr val="black">
                          <a:alpha val="40000"/>
                        </a:prstClr>
                      </a:outerShdw>
                    </a:effectLst>
                  </pic:spPr>
                </pic:pic>
              </a:graphicData>
            </a:graphic>
          </wp:inline>
        </w:drawing>
      </w:r>
    </w:p>
    <w:p w14:paraId="0170C9D6" w14:textId="1B0A7CE5" w:rsidR="00AF2661" w:rsidRPr="00440FD0" w:rsidRDefault="00AF2661" w:rsidP="00011168">
      <w:pPr>
        <w:pStyle w:val="Heading3"/>
      </w:pPr>
      <w:bookmarkStart w:id="20" w:name="_Toc100908216"/>
      <w:r w:rsidRPr="00440FD0">
        <w:t>Field Definitions</w:t>
      </w:r>
      <w:bookmarkEnd w:id="19"/>
      <w:bookmarkEnd w:id="20"/>
    </w:p>
    <w:p w14:paraId="5EFBCF89" w14:textId="5C57BBB9" w:rsidR="00AF2661" w:rsidRPr="00F65AA0" w:rsidRDefault="008639AD" w:rsidP="00011168">
      <w:pPr>
        <w:pStyle w:val="Heading4"/>
        <w:rPr>
          <w:rFonts w:eastAsia="MS Mincho"/>
        </w:rPr>
      </w:pPr>
      <w:r>
        <w:rPr>
          <w:rFonts w:eastAsia="MS Mincho"/>
        </w:rPr>
        <w:t>Server nam</w:t>
      </w:r>
      <w:r w:rsidR="005E21AB">
        <w:rPr>
          <w:rFonts w:eastAsia="MS Mincho"/>
        </w:rPr>
        <w:t>es to add</w:t>
      </w:r>
    </w:p>
    <w:p w14:paraId="00D0781F" w14:textId="0FEC0657" w:rsidR="008639AD" w:rsidRDefault="008639AD" w:rsidP="008639AD">
      <w:pPr>
        <w:widowControl w:val="0"/>
        <w:autoSpaceDE w:val="0"/>
        <w:autoSpaceDN w:val="0"/>
        <w:adjustRightInd w:val="0"/>
        <w:spacing w:before="24"/>
        <w:ind w:right="-20"/>
        <w:rPr>
          <w:rFonts w:eastAsia="MS Mincho" w:cstheme="minorHAnsi"/>
          <w:color w:val="000000"/>
          <w:szCs w:val="22"/>
        </w:rPr>
      </w:pPr>
      <w:r>
        <w:rPr>
          <w:rFonts w:eastAsia="MS Mincho" w:cstheme="minorHAnsi"/>
          <w:color w:val="000000"/>
          <w:szCs w:val="22"/>
        </w:rPr>
        <w:t xml:space="preserve">Name or IP address of your </w:t>
      </w:r>
      <w:r w:rsidR="006A034A">
        <w:rPr>
          <w:rFonts w:eastAsia="MS Mincho" w:cstheme="minorHAnsi"/>
          <w:color w:val="000000"/>
          <w:szCs w:val="22"/>
        </w:rPr>
        <w:t>N2WS (CPM)</w:t>
      </w:r>
      <w:r>
        <w:rPr>
          <w:rFonts w:eastAsia="MS Mincho" w:cstheme="minorHAnsi"/>
          <w:color w:val="000000"/>
          <w:szCs w:val="22"/>
        </w:rPr>
        <w:t xml:space="preserve"> server</w:t>
      </w:r>
    </w:p>
    <w:p w14:paraId="7D55AED5" w14:textId="369D4707" w:rsidR="00AF2661" w:rsidRDefault="008639AD" w:rsidP="008639AD">
      <w:pPr>
        <w:widowControl w:val="0"/>
        <w:autoSpaceDE w:val="0"/>
        <w:autoSpaceDN w:val="0"/>
        <w:adjustRightInd w:val="0"/>
        <w:spacing w:before="24"/>
        <w:ind w:right="-20"/>
        <w:rPr>
          <w:rFonts w:eastAsia="MS Mincho" w:cstheme="minorHAnsi"/>
          <w:color w:val="000000"/>
          <w:szCs w:val="22"/>
        </w:rPr>
      </w:pPr>
      <w:r>
        <w:rPr>
          <w:rFonts w:eastAsia="MS Mincho" w:cstheme="minorHAnsi"/>
          <w:color w:val="000000"/>
          <w:szCs w:val="22"/>
        </w:rPr>
        <w:t xml:space="preserve">FQDN is recommended because the IP address could change during a </w:t>
      </w:r>
      <w:r w:rsidR="006A034A">
        <w:rPr>
          <w:rFonts w:eastAsia="MS Mincho" w:cstheme="minorHAnsi"/>
          <w:color w:val="000000"/>
          <w:szCs w:val="22"/>
        </w:rPr>
        <w:t>N2WS (CPM)</w:t>
      </w:r>
      <w:r>
        <w:rPr>
          <w:rFonts w:eastAsia="MS Mincho" w:cstheme="minorHAnsi"/>
          <w:color w:val="000000"/>
          <w:szCs w:val="22"/>
        </w:rPr>
        <w:t xml:space="preserve"> upgrade</w:t>
      </w:r>
    </w:p>
    <w:p w14:paraId="42D7E327" w14:textId="5AFE7AD9" w:rsidR="00212575" w:rsidRPr="00F65AA0" w:rsidRDefault="005E21AB" w:rsidP="00212575">
      <w:pPr>
        <w:pStyle w:val="Heading4"/>
        <w:rPr>
          <w:rFonts w:eastAsia="MS Mincho"/>
        </w:rPr>
      </w:pPr>
      <w:r w:rsidRPr="005E21AB">
        <w:rPr>
          <w:rFonts w:eastAsia="MS Mincho"/>
        </w:rPr>
        <w:t>API authentication key</w:t>
      </w:r>
    </w:p>
    <w:p w14:paraId="7716DBE7" w14:textId="72EAF454" w:rsidR="00941BFA" w:rsidRDefault="00107B3D" w:rsidP="00011168">
      <w:pPr>
        <w:widowControl w:val="0"/>
        <w:autoSpaceDE w:val="0"/>
        <w:autoSpaceDN w:val="0"/>
        <w:adjustRightInd w:val="0"/>
        <w:spacing w:before="24"/>
        <w:ind w:right="-20"/>
        <w:rPr>
          <w:rFonts w:eastAsia="MS Mincho" w:cstheme="minorHAnsi"/>
          <w:color w:val="000000"/>
          <w:szCs w:val="22"/>
        </w:rPr>
      </w:pPr>
      <w:r>
        <w:rPr>
          <w:rFonts w:eastAsia="MS Mincho" w:cstheme="minorHAnsi"/>
          <w:color w:val="000000"/>
          <w:szCs w:val="22"/>
        </w:rPr>
        <w:t xml:space="preserve">Paste the </w:t>
      </w:r>
      <w:r w:rsidR="006A034A">
        <w:rPr>
          <w:rFonts w:eastAsia="MS Mincho"/>
          <w:color w:val="000000"/>
        </w:rPr>
        <w:t>N2WS (CPM)</w:t>
      </w:r>
      <w:r w:rsidR="000D6A32" w:rsidRPr="003C05A7">
        <w:rPr>
          <w:rFonts w:eastAsia="MS Mincho"/>
          <w:color w:val="000000"/>
        </w:rPr>
        <w:t xml:space="preserve"> </w:t>
      </w:r>
      <w:hyperlink w:anchor="_Create_CPM_API" w:history="1">
        <w:r w:rsidR="000D6A32" w:rsidRPr="000D6A32">
          <w:rPr>
            <w:rStyle w:val="Hyperlink"/>
            <w:rFonts w:eastAsia="MS Mincho" w:cstheme="minorHAnsi"/>
            <w:szCs w:val="22"/>
          </w:rPr>
          <w:t>API Authentication Key</w:t>
        </w:r>
      </w:hyperlink>
      <w:r>
        <w:rPr>
          <w:rFonts w:eastAsia="MS Mincho" w:cstheme="minorHAnsi"/>
          <w:color w:val="000000"/>
          <w:szCs w:val="22"/>
        </w:rPr>
        <w:t xml:space="preserve"> captured from the </w:t>
      </w:r>
      <w:r w:rsidR="006A034A">
        <w:rPr>
          <w:rFonts w:eastAsia="MS Mincho" w:cstheme="minorHAnsi"/>
          <w:color w:val="000000"/>
          <w:szCs w:val="22"/>
        </w:rPr>
        <w:t>N2WS (CPM)</w:t>
      </w:r>
      <w:r>
        <w:rPr>
          <w:rFonts w:eastAsia="MS Mincho" w:cstheme="minorHAnsi"/>
          <w:color w:val="000000"/>
          <w:szCs w:val="22"/>
        </w:rPr>
        <w:t xml:space="preserve"> interface</w:t>
      </w:r>
    </w:p>
    <w:p w14:paraId="1EA9BC46" w14:textId="39587070" w:rsidR="00CE4414" w:rsidRDefault="008639AD" w:rsidP="00CE4414">
      <w:pPr>
        <w:pStyle w:val="Heading4"/>
      </w:pPr>
      <w:r>
        <w:t xml:space="preserve">AWS </w:t>
      </w:r>
      <w:r w:rsidR="00CE4414">
        <w:t xml:space="preserve">Access Key ID </w:t>
      </w:r>
    </w:p>
    <w:p w14:paraId="70A888BE" w14:textId="78F43D97" w:rsidR="00CE4414" w:rsidRDefault="00CE4414" w:rsidP="00CE4414">
      <w:r>
        <w:t xml:space="preserve">Enter an Access Key ID with </w:t>
      </w:r>
      <w:r w:rsidRPr="003C05A7">
        <w:rPr>
          <w:bCs/>
        </w:rPr>
        <w:t>authoriz</w:t>
      </w:r>
      <w:r>
        <w:rPr>
          <w:bCs/>
        </w:rPr>
        <w:t>ation</w:t>
      </w:r>
      <w:r w:rsidRPr="003C05A7">
        <w:rPr>
          <w:bCs/>
        </w:rPr>
        <w:t xml:space="preserve"> to manage the </w:t>
      </w:r>
      <w:r w:rsidR="006A034A">
        <w:rPr>
          <w:bCs/>
        </w:rPr>
        <w:t>N2WS (CPM)</w:t>
      </w:r>
      <w:r w:rsidRPr="003C05A7">
        <w:rPr>
          <w:bCs/>
        </w:rPr>
        <w:t xml:space="preserve"> EC2 instance</w:t>
      </w:r>
      <w:r>
        <w:t xml:space="preserve">.  For steps on </w:t>
      </w:r>
      <w:r w:rsidR="008639AD">
        <w:t xml:space="preserve">confirming which AWS </w:t>
      </w:r>
      <w:r>
        <w:t>Access Key ID</w:t>
      </w:r>
      <w:r w:rsidR="008639AD">
        <w:t xml:space="preserve"> to use, </w:t>
      </w:r>
      <w:hyperlink w:anchor="_Confirming_AWS_Access" w:history="1">
        <w:r w:rsidR="008639AD" w:rsidRPr="002674E0">
          <w:rPr>
            <w:rStyle w:val="Hyperlink"/>
          </w:rPr>
          <w:t>Click here</w:t>
        </w:r>
      </w:hyperlink>
      <w:r w:rsidR="008639AD">
        <w:t xml:space="preserve">.  </w:t>
      </w:r>
    </w:p>
    <w:p w14:paraId="0C92CD86" w14:textId="4737E076" w:rsidR="00CE4414" w:rsidRDefault="008639AD" w:rsidP="00CE4414">
      <w:pPr>
        <w:pStyle w:val="Heading4"/>
      </w:pPr>
      <w:r>
        <w:t xml:space="preserve">AWS </w:t>
      </w:r>
      <w:r w:rsidR="00CE4414">
        <w:t xml:space="preserve">Secret access key </w:t>
      </w:r>
    </w:p>
    <w:p w14:paraId="3DEA8EDA" w14:textId="0D990D0F" w:rsidR="00941BFA" w:rsidRPr="005E21AB" w:rsidRDefault="00CE4414" w:rsidP="005E21AB">
      <w:pPr>
        <w:rPr>
          <w:rFonts w:eastAsia="MS Mincho" w:cstheme="minorHAnsi"/>
          <w:color w:val="000000"/>
          <w:szCs w:val="22"/>
        </w:rPr>
      </w:pPr>
      <w:r>
        <w:t xml:space="preserve">Enter the Secret Access Key for the Access Key ID above.  Please note, </w:t>
      </w:r>
      <w:r w:rsidRPr="00A92A7E">
        <w:rPr>
          <w:rFonts w:cstheme="minorHAnsi"/>
          <w:color w:val="000000" w:themeColor="text1"/>
          <w:shd w:val="clear" w:color="auto" w:fill="FFFFFF"/>
        </w:rPr>
        <w:t xml:space="preserve">the secret access key can only be retrieved when the key is created. </w:t>
      </w:r>
    </w:p>
    <w:p w14:paraId="41984D02" w14:textId="77777777" w:rsidR="00505EB5" w:rsidRPr="00734393" w:rsidRDefault="00505EB5" w:rsidP="00011168">
      <w:pPr>
        <w:pStyle w:val="Heading4"/>
        <w:rPr>
          <w:rFonts w:eastAsia="MS Mincho"/>
        </w:rPr>
      </w:pPr>
      <w:r w:rsidRPr="00734393">
        <w:rPr>
          <w:rFonts w:eastAsia="MS Mincho"/>
        </w:rPr>
        <w:t>Time Zone</w:t>
      </w:r>
    </w:p>
    <w:p w14:paraId="0ACF2F4E" w14:textId="01116D00" w:rsidR="00365C00" w:rsidRDefault="00505EB5" w:rsidP="00011168">
      <w:pPr>
        <w:widowControl w:val="0"/>
        <w:autoSpaceDE w:val="0"/>
        <w:autoSpaceDN w:val="0"/>
        <w:adjustRightInd w:val="0"/>
        <w:ind w:right="-20"/>
        <w:rPr>
          <w:rFonts w:cstheme="minorHAnsi"/>
        </w:rPr>
      </w:pPr>
      <w:r w:rsidRPr="00845053">
        <w:rPr>
          <w:rFonts w:cstheme="minorHAnsi"/>
        </w:rPr>
        <w:t xml:space="preserve">Select the time zone where </w:t>
      </w:r>
      <w:r w:rsidR="009D78B0">
        <w:rPr>
          <w:rFonts w:cstheme="minorHAnsi"/>
        </w:rPr>
        <w:t xml:space="preserve">the </w:t>
      </w:r>
      <w:r w:rsidR="006A034A">
        <w:rPr>
          <w:rFonts w:cstheme="minorHAnsi"/>
          <w:szCs w:val="22"/>
        </w:rPr>
        <w:t>N2WS (CPM)</w:t>
      </w:r>
      <w:r w:rsidRPr="005944EB">
        <w:rPr>
          <w:rFonts w:cstheme="minorHAnsi"/>
          <w:szCs w:val="22"/>
        </w:rPr>
        <w:t xml:space="preserve"> </w:t>
      </w:r>
      <w:r w:rsidRPr="00845053">
        <w:rPr>
          <w:rFonts w:cstheme="minorHAnsi"/>
        </w:rPr>
        <w:t xml:space="preserve">resides. This setting ensures times are displayed </w:t>
      </w:r>
      <w:r w:rsidRPr="00845053">
        <w:rPr>
          <w:rFonts w:cstheme="minorHAnsi"/>
        </w:rPr>
        <w:lastRenderedPageBreak/>
        <w:t>consistently in environments</w:t>
      </w:r>
      <w:r w:rsidR="009D78B0">
        <w:rPr>
          <w:rFonts w:cstheme="minorHAnsi"/>
        </w:rPr>
        <w:t xml:space="preserve"> that span multiple time zones.</w:t>
      </w:r>
    </w:p>
    <w:p w14:paraId="35AB36FB" w14:textId="6C9EBDDC" w:rsidR="009E307F" w:rsidRDefault="009E307F" w:rsidP="003C05A7">
      <w:pPr>
        <w:pStyle w:val="Heading1"/>
      </w:pPr>
      <w:bookmarkStart w:id="21" w:name="_Appendix_A:_Avoiding"/>
      <w:bookmarkStart w:id="22" w:name="_Create_CPM_API"/>
      <w:bookmarkStart w:id="23" w:name="_Toc100908217"/>
      <w:bookmarkEnd w:id="21"/>
      <w:bookmarkEnd w:id="22"/>
      <w:r>
        <w:t xml:space="preserve">Create </w:t>
      </w:r>
      <w:r w:rsidR="006A034A">
        <w:t>N2WS (CPM)</w:t>
      </w:r>
      <w:r>
        <w:t xml:space="preserve"> API A</w:t>
      </w:r>
      <w:r w:rsidR="00107B3D">
        <w:t>uthentication Key</w:t>
      </w:r>
      <w:bookmarkEnd w:id="23"/>
    </w:p>
    <w:p w14:paraId="73963DBD" w14:textId="28B3C1C7" w:rsidR="00810029" w:rsidRDefault="00107B3D" w:rsidP="00810029">
      <w:r>
        <w:t>An API Authen</w:t>
      </w:r>
      <w:r w:rsidR="00073945">
        <w:t xml:space="preserve">tication key is required from </w:t>
      </w:r>
      <w:r>
        <w:t>delegate user</w:t>
      </w:r>
      <w:r w:rsidR="00073945">
        <w:t xml:space="preserve">.  This user should be a delegate of the user that </w:t>
      </w:r>
      <w:r w:rsidR="00810029">
        <w:t xml:space="preserve">which backup data will be collected.  To create a new delegate user, following the steps below.  If a delegate user is already created, skip to </w:t>
      </w:r>
      <w:hyperlink w:anchor="_Create_an_API" w:history="1">
        <w:r w:rsidR="00810029" w:rsidRPr="00810029">
          <w:rPr>
            <w:rStyle w:val="Hyperlink"/>
          </w:rPr>
          <w:t>Create an API Authentication key</w:t>
        </w:r>
      </w:hyperlink>
      <w:r w:rsidR="00810029">
        <w:t>.</w:t>
      </w:r>
    </w:p>
    <w:p w14:paraId="258FBC64" w14:textId="77777777" w:rsidR="00107B3D" w:rsidRPr="003C05A7" w:rsidRDefault="00107B3D" w:rsidP="003C05A7"/>
    <w:p w14:paraId="0468FD0D" w14:textId="0F1D2E5A" w:rsidR="009E307F" w:rsidRDefault="009E307F" w:rsidP="003C05A7">
      <w:pPr>
        <w:pStyle w:val="Heading3"/>
      </w:pPr>
      <w:bookmarkStart w:id="24" w:name="_Toc100908218"/>
      <w:r>
        <w:t>Create a delegate user</w:t>
      </w:r>
      <w:bookmarkEnd w:id="24"/>
    </w:p>
    <w:p w14:paraId="4AC0823C" w14:textId="5B49DCD7" w:rsidR="009E307F" w:rsidRDefault="009E307F" w:rsidP="009E307F">
      <w:pPr>
        <w:pStyle w:val="ListParagraph"/>
        <w:numPr>
          <w:ilvl w:val="0"/>
          <w:numId w:val="15"/>
        </w:numPr>
        <w:rPr>
          <w:rFonts w:eastAsiaTheme="majorEastAsia"/>
        </w:rPr>
      </w:pPr>
      <w:r>
        <w:rPr>
          <w:rFonts w:eastAsiaTheme="majorEastAsia"/>
        </w:rPr>
        <w:t xml:space="preserve">Log into </w:t>
      </w:r>
      <w:r w:rsidR="006A034A">
        <w:rPr>
          <w:rFonts w:eastAsiaTheme="majorEastAsia"/>
        </w:rPr>
        <w:t>N2WS (CPM)</w:t>
      </w:r>
      <w:r>
        <w:rPr>
          <w:rFonts w:eastAsiaTheme="majorEastAsia"/>
        </w:rPr>
        <w:t xml:space="preserve"> server as root</w:t>
      </w:r>
    </w:p>
    <w:p w14:paraId="56511F92" w14:textId="77777777" w:rsidR="009E307F" w:rsidRDefault="009E307F" w:rsidP="009E307F">
      <w:pPr>
        <w:pStyle w:val="ListParagraph"/>
        <w:numPr>
          <w:ilvl w:val="0"/>
          <w:numId w:val="15"/>
        </w:numPr>
        <w:rPr>
          <w:rFonts w:eastAsiaTheme="majorEastAsia"/>
        </w:rPr>
      </w:pPr>
      <w:r>
        <w:rPr>
          <w:rFonts w:eastAsiaTheme="majorEastAsia"/>
        </w:rPr>
        <w:t>Click users:</w:t>
      </w:r>
    </w:p>
    <w:p w14:paraId="013513D6" w14:textId="5C6AF33B" w:rsidR="009E307F" w:rsidRDefault="009E307F" w:rsidP="009E307F">
      <w:pPr>
        <w:pStyle w:val="ListParagraph"/>
        <w:rPr>
          <w:rFonts w:eastAsiaTheme="majorEastAsia"/>
        </w:rPr>
      </w:pPr>
      <w:r>
        <w:rPr>
          <w:rFonts w:eastAsiaTheme="majorEastAsia"/>
          <w:noProof/>
        </w:rPr>
        <w:drawing>
          <wp:inline distT="0" distB="0" distL="0" distR="0" wp14:anchorId="3D3BA43C" wp14:editId="764B5F70">
            <wp:extent cx="5943600" cy="628650"/>
            <wp:effectExtent l="114300" t="76200" r="114300" b="762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D261029" w14:textId="77777777" w:rsidR="009E307F" w:rsidRDefault="009E307F" w:rsidP="009E307F">
      <w:pPr>
        <w:pStyle w:val="ListParagraph"/>
        <w:rPr>
          <w:rFonts w:eastAsiaTheme="majorEastAsia"/>
        </w:rPr>
      </w:pPr>
    </w:p>
    <w:p w14:paraId="6C46AC84" w14:textId="6358967A" w:rsidR="009E307F" w:rsidRDefault="00031196" w:rsidP="009E307F">
      <w:pPr>
        <w:pStyle w:val="ListParagraph"/>
        <w:numPr>
          <w:ilvl w:val="0"/>
          <w:numId w:val="15"/>
        </w:numPr>
        <w:rPr>
          <w:rFonts w:eastAsiaTheme="majorEastAsia"/>
        </w:rPr>
      </w:pPr>
      <w:r>
        <w:rPr>
          <w:rFonts w:eastAsiaTheme="majorEastAsia"/>
        </w:rPr>
        <w:t xml:space="preserve">For the user’s account that will be added to Bocada, </w:t>
      </w:r>
      <w:r w:rsidR="009E307F">
        <w:rPr>
          <w:rFonts w:eastAsiaTheme="majorEastAsia"/>
        </w:rPr>
        <w:t>click ‘delegates’:</w:t>
      </w:r>
    </w:p>
    <w:p w14:paraId="6E55317F" w14:textId="2D9084D8" w:rsidR="009E307F" w:rsidRDefault="009E307F" w:rsidP="009E307F">
      <w:pPr>
        <w:pStyle w:val="ListParagraph"/>
        <w:rPr>
          <w:rFonts w:eastAsiaTheme="majorEastAsia"/>
        </w:rPr>
      </w:pPr>
      <w:r>
        <w:rPr>
          <w:rFonts w:eastAsiaTheme="majorEastAsia"/>
          <w:noProof/>
        </w:rPr>
        <w:drawing>
          <wp:inline distT="0" distB="0" distL="0" distR="0" wp14:anchorId="26B28BBA" wp14:editId="5B2A2E8B">
            <wp:extent cx="5934075" cy="723900"/>
            <wp:effectExtent l="114300" t="76200" r="123825" b="762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C451C47" w14:textId="65F6264D" w:rsidR="009E307F" w:rsidRDefault="009E307F" w:rsidP="009E307F">
      <w:pPr>
        <w:pStyle w:val="ListParagraph"/>
        <w:rPr>
          <w:rFonts w:eastAsiaTheme="majorEastAsia"/>
        </w:rPr>
      </w:pPr>
    </w:p>
    <w:p w14:paraId="1463159B" w14:textId="77777777" w:rsidR="008639AD" w:rsidRDefault="008639AD" w:rsidP="008639AD">
      <w:pPr>
        <w:pStyle w:val="ListParagraph"/>
        <w:numPr>
          <w:ilvl w:val="0"/>
          <w:numId w:val="15"/>
        </w:numPr>
        <w:rPr>
          <w:rFonts w:eastAsiaTheme="majorEastAsia"/>
        </w:rPr>
      </w:pPr>
      <w:r>
        <w:rPr>
          <w:rFonts w:eastAsiaTheme="majorEastAsia"/>
        </w:rPr>
        <w:t>Click “</w:t>
      </w:r>
      <w:r w:rsidR="009E307F" w:rsidRPr="008639AD">
        <w:rPr>
          <w:rFonts w:eastAsiaTheme="majorEastAsia"/>
        </w:rPr>
        <w:t>Add New Delegate</w:t>
      </w:r>
      <w:r>
        <w:rPr>
          <w:rFonts w:eastAsiaTheme="majorEastAsia"/>
        </w:rPr>
        <w:t>” and update with the permission settings below:</w:t>
      </w:r>
    </w:p>
    <w:p w14:paraId="331DC9E0" w14:textId="2D11868A" w:rsidR="008639AD" w:rsidRDefault="008639AD" w:rsidP="008639AD">
      <w:pPr>
        <w:pStyle w:val="ListParagraph"/>
        <w:rPr>
          <w:rFonts w:eastAsiaTheme="majorEastAsia"/>
        </w:rPr>
      </w:pPr>
      <w:r>
        <w:rPr>
          <w:rFonts w:eastAsiaTheme="majorEastAsia"/>
          <w:noProof/>
        </w:rPr>
        <w:drawing>
          <wp:inline distT="0" distB="0" distL="0" distR="0" wp14:anchorId="5B499150" wp14:editId="30587F8F">
            <wp:extent cx="4400550" cy="3357207"/>
            <wp:effectExtent l="95250" t="114300" r="95250" b="1104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052" cy="3360642"/>
                    </a:xfrm>
                    <a:prstGeom prst="rect">
                      <a:avLst/>
                    </a:prstGeom>
                    <a:noFill/>
                    <a:ln>
                      <a:noFill/>
                    </a:ln>
                    <a:effectLst>
                      <a:outerShdw blurRad="63500" sx="102000" sy="102000" algn="ctr" rotWithShape="0">
                        <a:prstClr val="black">
                          <a:alpha val="40000"/>
                        </a:prstClr>
                      </a:outerShdw>
                    </a:effectLst>
                  </pic:spPr>
                </pic:pic>
              </a:graphicData>
            </a:graphic>
          </wp:inline>
        </w:drawing>
      </w:r>
      <w:r w:rsidRPr="1A32C70E">
        <w:rPr>
          <w:rFonts w:eastAsiaTheme="majorEastAsia"/>
        </w:rPr>
        <w:t xml:space="preserve"> </w:t>
      </w:r>
    </w:p>
    <w:p w14:paraId="493360ED" w14:textId="6A627FBC" w:rsidR="009E307F" w:rsidRPr="008639AD" w:rsidRDefault="009E307F" w:rsidP="008639AD">
      <w:pPr>
        <w:pStyle w:val="ListParagraph"/>
        <w:rPr>
          <w:rFonts w:eastAsiaTheme="majorEastAsia"/>
        </w:rPr>
      </w:pPr>
    </w:p>
    <w:p w14:paraId="26C856D0" w14:textId="77777777" w:rsidR="008639AD" w:rsidRDefault="008639AD" w:rsidP="003C05A7">
      <w:pPr>
        <w:pStyle w:val="Heading3"/>
      </w:pPr>
      <w:bookmarkStart w:id="25" w:name="_Create_an_API"/>
      <w:bookmarkEnd w:id="25"/>
    </w:p>
    <w:p w14:paraId="531A3997" w14:textId="2006250E" w:rsidR="009E307F" w:rsidRDefault="009E307F" w:rsidP="003C05A7">
      <w:pPr>
        <w:pStyle w:val="Heading3"/>
      </w:pPr>
      <w:bookmarkStart w:id="26" w:name="_Toc100908219"/>
      <w:r>
        <w:t>Create an API Authentication key:</w:t>
      </w:r>
      <w:bookmarkEnd w:id="26"/>
    </w:p>
    <w:p w14:paraId="3020395D" w14:textId="0620A054" w:rsidR="009E307F" w:rsidRDefault="009E307F" w:rsidP="009E307F">
      <w:pPr>
        <w:pStyle w:val="ListParagraph"/>
        <w:numPr>
          <w:ilvl w:val="0"/>
          <w:numId w:val="14"/>
        </w:numPr>
        <w:rPr>
          <w:rFonts w:eastAsiaTheme="majorEastAsia"/>
        </w:rPr>
      </w:pPr>
      <w:r w:rsidRPr="001F5882">
        <w:rPr>
          <w:rFonts w:eastAsiaTheme="majorEastAsia"/>
        </w:rPr>
        <w:t xml:space="preserve">Log into the </w:t>
      </w:r>
      <w:r w:rsidR="006A034A">
        <w:rPr>
          <w:rFonts w:eastAsiaTheme="majorEastAsia"/>
        </w:rPr>
        <w:t>N2WS (CPM)</w:t>
      </w:r>
      <w:r w:rsidRPr="001F5882">
        <w:rPr>
          <w:rFonts w:eastAsiaTheme="majorEastAsia"/>
        </w:rPr>
        <w:t xml:space="preserve"> server</w:t>
      </w:r>
      <w:r>
        <w:rPr>
          <w:rFonts w:eastAsiaTheme="majorEastAsia"/>
        </w:rPr>
        <w:t xml:space="preserve"> as the delegate user, scroll to the bottom of the page</w:t>
      </w:r>
    </w:p>
    <w:p w14:paraId="5F4560A7" w14:textId="77777777" w:rsidR="009E307F" w:rsidRDefault="009E307F" w:rsidP="009E307F">
      <w:pPr>
        <w:pStyle w:val="ListParagraph"/>
        <w:numPr>
          <w:ilvl w:val="0"/>
          <w:numId w:val="14"/>
        </w:numPr>
        <w:rPr>
          <w:rFonts w:eastAsiaTheme="majorEastAsia"/>
        </w:rPr>
      </w:pPr>
      <w:r>
        <w:rPr>
          <w:rFonts w:eastAsiaTheme="majorEastAsia"/>
        </w:rPr>
        <w:t>Click ‘</w:t>
      </w:r>
      <w:r w:rsidRPr="001F5882">
        <w:rPr>
          <w:rFonts w:eastAsiaTheme="majorEastAsia"/>
        </w:rPr>
        <w:t>configure API authentication key</w:t>
      </w:r>
      <w:r>
        <w:rPr>
          <w:rFonts w:eastAsiaTheme="majorEastAsia"/>
        </w:rPr>
        <w:t>’</w:t>
      </w:r>
    </w:p>
    <w:p w14:paraId="0399C588" w14:textId="3126B0AB" w:rsidR="009E307F" w:rsidRDefault="009E307F" w:rsidP="009E307F">
      <w:pPr>
        <w:pStyle w:val="ListParagraph"/>
        <w:rPr>
          <w:rFonts w:eastAsiaTheme="majorEastAsia"/>
        </w:rPr>
      </w:pPr>
      <w:r>
        <w:rPr>
          <w:rFonts w:eastAsiaTheme="majorEastAsia"/>
          <w:noProof/>
        </w:rPr>
        <w:drawing>
          <wp:inline distT="0" distB="0" distL="0" distR="0" wp14:anchorId="361B0801" wp14:editId="241A0FE5">
            <wp:extent cx="5943600" cy="809625"/>
            <wp:effectExtent l="114300" t="76200" r="114300"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4546E15" w14:textId="1CB99861" w:rsidR="00107B3D" w:rsidRDefault="00810029" w:rsidP="003C05A7">
      <w:pPr>
        <w:pStyle w:val="ListParagraph"/>
        <w:numPr>
          <w:ilvl w:val="0"/>
          <w:numId w:val="14"/>
        </w:numPr>
        <w:rPr>
          <w:rFonts w:eastAsiaTheme="majorEastAsia"/>
        </w:rPr>
      </w:pPr>
      <w:r>
        <w:rPr>
          <w:rFonts w:eastAsiaTheme="majorEastAsia"/>
        </w:rPr>
        <w:t xml:space="preserve">If API Access is already Enabled and </w:t>
      </w:r>
      <w:proofErr w:type="gramStart"/>
      <w:r>
        <w:rPr>
          <w:rFonts w:eastAsiaTheme="majorEastAsia"/>
        </w:rPr>
        <w:t>a</w:t>
      </w:r>
      <w:proofErr w:type="gramEnd"/>
      <w:r>
        <w:rPr>
          <w:rFonts w:eastAsiaTheme="majorEastAsia"/>
        </w:rPr>
        <w:t xml:space="preserve"> Authentication Key is present, copy and paste this key into Bocada.  If API Access is set to Disable, change this field to </w:t>
      </w:r>
      <w:r w:rsidR="00107B3D">
        <w:rPr>
          <w:rFonts w:eastAsiaTheme="majorEastAsia"/>
        </w:rPr>
        <w:t>Enable</w:t>
      </w:r>
      <w:r>
        <w:rPr>
          <w:rFonts w:eastAsiaTheme="majorEastAsia"/>
        </w:rPr>
        <w:t xml:space="preserve"> and click “new authentication key”.  A pop-up will be displayed stating the old key will no longer be valid.  </w:t>
      </w:r>
      <w:r w:rsidR="00107B3D">
        <w:rPr>
          <w:rFonts w:eastAsiaTheme="majorEastAsia"/>
        </w:rPr>
        <w:t xml:space="preserve"> </w:t>
      </w:r>
      <w:r>
        <w:rPr>
          <w:rFonts w:eastAsiaTheme="majorEastAsia"/>
        </w:rPr>
        <w:t xml:space="preserve">Click Ok.  The </w:t>
      </w:r>
      <w:r w:rsidR="00107B3D">
        <w:rPr>
          <w:rFonts w:eastAsiaTheme="majorEastAsia"/>
        </w:rPr>
        <w:t xml:space="preserve">Authentication Key </w:t>
      </w:r>
      <w:r>
        <w:rPr>
          <w:rFonts w:eastAsiaTheme="majorEastAsia"/>
        </w:rPr>
        <w:t xml:space="preserve">will now be displayed on the screen.  Copy and </w:t>
      </w:r>
      <w:r w:rsidR="00107B3D">
        <w:rPr>
          <w:rFonts w:eastAsiaTheme="majorEastAsia"/>
        </w:rPr>
        <w:t>paste</w:t>
      </w:r>
      <w:r>
        <w:rPr>
          <w:rFonts w:eastAsiaTheme="majorEastAsia"/>
        </w:rPr>
        <w:t xml:space="preserve"> this </w:t>
      </w:r>
      <w:r w:rsidR="00AB6F40">
        <w:rPr>
          <w:rFonts w:eastAsiaTheme="majorEastAsia"/>
        </w:rPr>
        <w:t>key into</w:t>
      </w:r>
      <w:r w:rsidR="00107B3D">
        <w:rPr>
          <w:rFonts w:eastAsiaTheme="majorEastAsia"/>
        </w:rPr>
        <w:t xml:space="preserve"> Bocada</w:t>
      </w:r>
      <w:r>
        <w:rPr>
          <w:rFonts w:eastAsiaTheme="majorEastAsia"/>
        </w:rPr>
        <w:t>.</w:t>
      </w:r>
    </w:p>
    <w:p w14:paraId="41F04C85" w14:textId="0BC7DA61" w:rsidR="00107B3D" w:rsidRDefault="00DD0ACE" w:rsidP="003C05A7">
      <w:pPr>
        <w:pStyle w:val="ListParagraph"/>
        <w:rPr>
          <w:rFonts w:eastAsiaTheme="majorEastAsia"/>
        </w:rPr>
      </w:pPr>
      <w:r>
        <w:rPr>
          <w:noProof/>
        </w:rPr>
        <w:drawing>
          <wp:inline distT="0" distB="0" distL="0" distR="0" wp14:anchorId="09858277" wp14:editId="6D5B2C93">
            <wp:extent cx="4952998" cy="2768407"/>
            <wp:effectExtent l="0" t="0" r="0" b="0"/>
            <wp:docPr id="829310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952998" cy="2768407"/>
                    </a:xfrm>
                    <a:prstGeom prst="rect">
                      <a:avLst/>
                    </a:prstGeom>
                  </pic:spPr>
                </pic:pic>
              </a:graphicData>
            </a:graphic>
          </wp:inline>
        </w:drawing>
      </w:r>
    </w:p>
    <w:p w14:paraId="0D116E45" w14:textId="33E02041" w:rsidR="008639AD" w:rsidRDefault="008639AD" w:rsidP="003C05A7">
      <w:pPr>
        <w:pStyle w:val="ListParagraph"/>
        <w:rPr>
          <w:rFonts w:eastAsiaTheme="majorEastAsia"/>
        </w:rPr>
      </w:pPr>
    </w:p>
    <w:p w14:paraId="38423192" w14:textId="33325295" w:rsidR="008639AD" w:rsidRDefault="008639AD" w:rsidP="008639AD">
      <w:pPr>
        <w:pStyle w:val="Heading1"/>
      </w:pPr>
      <w:bookmarkStart w:id="27" w:name="_Confirming_AWS_Access"/>
      <w:bookmarkStart w:id="28" w:name="_Toc100908220"/>
      <w:bookmarkEnd w:id="27"/>
      <w:r>
        <w:t>Confirming AWS Access Key ID</w:t>
      </w:r>
      <w:bookmarkEnd w:id="28"/>
    </w:p>
    <w:p w14:paraId="43E00D76" w14:textId="05C8018A" w:rsidR="008639AD" w:rsidRDefault="008639AD" w:rsidP="008639AD">
      <w:pPr>
        <w:rPr>
          <w:rFonts w:eastAsiaTheme="majorEastAsia"/>
        </w:rPr>
      </w:pPr>
    </w:p>
    <w:p w14:paraId="64EFB88A" w14:textId="791B90C5" w:rsidR="008639AD" w:rsidRDefault="008639AD" w:rsidP="008639AD">
      <w:pPr>
        <w:rPr>
          <w:rFonts w:eastAsiaTheme="majorEastAsia"/>
        </w:rPr>
      </w:pPr>
      <w:r>
        <w:rPr>
          <w:rFonts w:eastAsiaTheme="majorEastAsia"/>
        </w:rPr>
        <w:t xml:space="preserve">The AWS Access Key ID and </w:t>
      </w:r>
      <w:r w:rsidR="00835C19">
        <w:rPr>
          <w:rFonts w:eastAsiaTheme="majorEastAsia"/>
        </w:rPr>
        <w:t xml:space="preserve">AWS </w:t>
      </w:r>
      <w:r>
        <w:rPr>
          <w:rFonts w:eastAsiaTheme="majorEastAsia"/>
        </w:rPr>
        <w:t>Sec</w:t>
      </w:r>
      <w:r w:rsidR="00835C19">
        <w:rPr>
          <w:rFonts w:eastAsiaTheme="majorEastAsia"/>
        </w:rPr>
        <w:t xml:space="preserve">ret access key should be from a user within AWS that has the same Policy Permissions as the IAM role configured for the </w:t>
      </w:r>
      <w:r w:rsidR="006A034A">
        <w:rPr>
          <w:rFonts w:eastAsiaTheme="majorEastAsia"/>
        </w:rPr>
        <w:t>N2WS (CPM)</w:t>
      </w:r>
      <w:r w:rsidR="00835C19">
        <w:rPr>
          <w:rFonts w:eastAsiaTheme="majorEastAsia"/>
        </w:rPr>
        <w:t xml:space="preserve"> Instance.  To confirm, follow the steps below: </w:t>
      </w:r>
    </w:p>
    <w:p w14:paraId="70F5CADC" w14:textId="5C82979C" w:rsidR="00835C19" w:rsidRDefault="00835C19" w:rsidP="008639AD">
      <w:pPr>
        <w:rPr>
          <w:rFonts w:eastAsiaTheme="majorEastAsia"/>
        </w:rPr>
      </w:pPr>
    </w:p>
    <w:p w14:paraId="18FF2E51" w14:textId="0AE56EB2" w:rsidR="00835C19" w:rsidRDefault="00835C19" w:rsidP="00835C19">
      <w:pPr>
        <w:pStyle w:val="ListParagraph"/>
        <w:numPr>
          <w:ilvl w:val="0"/>
          <w:numId w:val="18"/>
        </w:numPr>
        <w:rPr>
          <w:rFonts w:eastAsiaTheme="majorEastAsia"/>
        </w:rPr>
      </w:pPr>
      <w:r>
        <w:rPr>
          <w:rFonts w:eastAsiaTheme="majorEastAsia"/>
        </w:rPr>
        <w:t>Log into AWS and navigate to EC2</w:t>
      </w:r>
    </w:p>
    <w:p w14:paraId="1ED4632E" w14:textId="2A2EEE3A" w:rsidR="00835C19" w:rsidRDefault="00835C19" w:rsidP="00835C19">
      <w:pPr>
        <w:pStyle w:val="ListParagraph"/>
        <w:numPr>
          <w:ilvl w:val="0"/>
          <w:numId w:val="18"/>
        </w:numPr>
        <w:rPr>
          <w:rFonts w:eastAsiaTheme="majorEastAsia"/>
        </w:rPr>
      </w:pPr>
      <w:r>
        <w:rPr>
          <w:rFonts w:eastAsiaTheme="majorEastAsia"/>
        </w:rPr>
        <w:t xml:space="preserve">Locate and select the </w:t>
      </w:r>
      <w:r w:rsidR="006A034A">
        <w:rPr>
          <w:rFonts w:eastAsiaTheme="majorEastAsia"/>
        </w:rPr>
        <w:t>N2WS (CPM)</w:t>
      </w:r>
      <w:r>
        <w:rPr>
          <w:rFonts w:eastAsiaTheme="majorEastAsia"/>
        </w:rPr>
        <w:t xml:space="preserve"> Instance</w:t>
      </w:r>
    </w:p>
    <w:p w14:paraId="3C94C95C" w14:textId="27CA0C34" w:rsidR="00835C19" w:rsidRDefault="00835C19" w:rsidP="00835C19">
      <w:pPr>
        <w:pStyle w:val="ListParagraph"/>
        <w:numPr>
          <w:ilvl w:val="0"/>
          <w:numId w:val="18"/>
        </w:numPr>
        <w:rPr>
          <w:rFonts w:eastAsiaTheme="majorEastAsia"/>
        </w:rPr>
      </w:pPr>
      <w:r>
        <w:rPr>
          <w:rFonts w:eastAsiaTheme="majorEastAsia"/>
        </w:rPr>
        <w:t>Under the Descrip</w:t>
      </w:r>
      <w:r w:rsidR="00C13F32">
        <w:rPr>
          <w:rFonts w:eastAsiaTheme="majorEastAsia"/>
        </w:rPr>
        <w:t>tion Tab, click on the IAM role</w:t>
      </w:r>
    </w:p>
    <w:p w14:paraId="52537319" w14:textId="689D1B8A" w:rsidR="00835C19" w:rsidRDefault="00835C19" w:rsidP="00835C19">
      <w:pPr>
        <w:ind w:left="1080" w:firstLine="360"/>
        <w:rPr>
          <w:rFonts w:eastAsiaTheme="majorEastAsia"/>
        </w:rPr>
      </w:pPr>
      <w:r>
        <w:rPr>
          <w:rFonts w:eastAsiaTheme="majorEastAsia"/>
          <w:noProof/>
        </w:rPr>
        <w:lastRenderedPageBreak/>
        <w:drawing>
          <wp:inline distT="0" distB="0" distL="0" distR="0" wp14:anchorId="364B7499" wp14:editId="0D00D791">
            <wp:extent cx="3654514" cy="3528060"/>
            <wp:effectExtent l="19050" t="19050" r="2222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8423" cy="3531834"/>
                    </a:xfrm>
                    <a:prstGeom prst="rect">
                      <a:avLst/>
                    </a:prstGeom>
                    <a:noFill/>
                    <a:ln w="19050">
                      <a:solidFill>
                        <a:schemeClr val="accent1"/>
                      </a:solidFill>
                    </a:ln>
                  </pic:spPr>
                </pic:pic>
              </a:graphicData>
            </a:graphic>
          </wp:inline>
        </w:drawing>
      </w:r>
    </w:p>
    <w:p w14:paraId="39859217" w14:textId="77777777" w:rsidR="00835C19" w:rsidRDefault="00835C19" w:rsidP="00835C19">
      <w:pPr>
        <w:ind w:left="360"/>
        <w:rPr>
          <w:rFonts w:eastAsiaTheme="majorEastAsia"/>
        </w:rPr>
      </w:pPr>
    </w:p>
    <w:p w14:paraId="5D6AD2F5" w14:textId="497A3195" w:rsidR="00835C19" w:rsidRDefault="00C13F32" w:rsidP="00835C19">
      <w:pPr>
        <w:pStyle w:val="ListParagraph"/>
        <w:numPr>
          <w:ilvl w:val="0"/>
          <w:numId w:val="18"/>
        </w:numPr>
        <w:rPr>
          <w:rFonts w:eastAsiaTheme="majorEastAsia"/>
        </w:rPr>
      </w:pPr>
      <w:r>
        <w:rPr>
          <w:rFonts w:eastAsiaTheme="majorEastAsia"/>
        </w:rPr>
        <w:t>On the Roles Summary page, record the Policy Name/s used</w:t>
      </w:r>
    </w:p>
    <w:p w14:paraId="6FCCFDE3" w14:textId="77777777" w:rsidR="00C13F32" w:rsidRDefault="00C13F32" w:rsidP="00C13F32">
      <w:pPr>
        <w:pStyle w:val="ListParagraph"/>
        <w:rPr>
          <w:rFonts w:eastAsiaTheme="majorEastAsia"/>
        </w:rPr>
      </w:pPr>
    </w:p>
    <w:p w14:paraId="6B0D188A" w14:textId="51585954" w:rsidR="00C13F32" w:rsidRDefault="00C13F32" w:rsidP="00C13F32">
      <w:pPr>
        <w:pStyle w:val="ListParagraph"/>
        <w:ind w:left="1440"/>
        <w:rPr>
          <w:rFonts w:eastAsiaTheme="majorEastAsia"/>
        </w:rPr>
      </w:pPr>
      <w:r>
        <w:rPr>
          <w:rFonts w:eastAsiaTheme="majorEastAsia"/>
          <w:noProof/>
        </w:rPr>
        <w:drawing>
          <wp:inline distT="0" distB="0" distL="0" distR="0" wp14:anchorId="7C3DA452" wp14:editId="2BB39101">
            <wp:extent cx="3825240" cy="2726242"/>
            <wp:effectExtent l="19050" t="19050" r="2286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4039" cy="2739640"/>
                    </a:xfrm>
                    <a:prstGeom prst="rect">
                      <a:avLst/>
                    </a:prstGeom>
                    <a:noFill/>
                    <a:ln w="19050">
                      <a:solidFill>
                        <a:schemeClr val="accent1"/>
                      </a:solidFill>
                    </a:ln>
                  </pic:spPr>
                </pic:pic>
              </a:graphicData>
            </a:graphic>
          </wp:inline>
        </w:drawing>
      </w:r>
    </w:p>
    <w:p w14:paraId="4567BCBD" w14:textId="77777777" w:rsidR="002674E0" w:rsidRDefault="002674E0" w:rsidP="00C13F32">
      <w:pPr>
        <w:pStyle w:val="ListParagraph"/>
        <w:ind w:left="1440"/>
        <w:rPr>
          <w:rFonts w:eastAsiaTheme="majorEastAsia"/>
        </w:rPr>
      </w:pPr>
    </w:p>
    <w:p w14:paraId="63298A33" w14:textId="7C023301" w:rsidR="00C13F32" w:rsidRPr="00C13F32" w:rsidRDefault="002674E0" w:rsidP="00C13F32">
      <w:pPr>
        <w:pStyle w:val="ListParagraph"/>
        <w:numPr>
          <w:ilvl w:val="0"/>
          <w:numId w:val="18"/>
        </w:numPr>
        <w:rPr>
          <w:rFonts w:eastAsiaTheme="majorEastAsia"/>
        </w:rPr>
      </w:pPr>
      <w:r>
        <w:rPr>
          <w:rFonts w:eastAsiaTheme="majorEastAsia"/>
        </w:rPr>
        <w:t xml:space="preserve">The AWS Access Key ID and AWS Secret access key should be from a user with the Policy names defined in step 4.  </w:t>
      </w:r>
    </w:p>
    <w:p w14:paraId="26D85AE6" w14:textId="6B41DFFE" w:rsidR="00835C19" w:rsidRDefault="00835C19" w:rsidP="00835C19">
      <w:pPr>
        <w:rPr>
          <w:rFonts w:eastAsiaTheme="majorEastAsia"/>
        </w:rPr>
      </w:pPr>
    </w:p>
    <w:p w14:paraId="4C902CD9" w14:textId="2C2AA725" w:rsidR="00267F39" w:rsidRDefault="00267F39" w:rsidP="00267F39">
      <w:pPr>
        <w:pStyle w:val="Heading1"/>
      </w:pPr>
      <w:bookmarkStart w:id="29" w:name="_Toc100908221"/>
      <w:r>
        <w:t>Reporting Notes</w:t>
      </w:r>
      <w:bookmarkEnd w:id="29"/>
    </w:p>
    <w:p w14:paraId="52155D11" w14:textId="07A3CE95" w:rsidR="00267F39" w:rsidRDefault="00267F39" w:rsidP="00267F39">
      <w:r>
        <w:t>Some backup jobs will not have bytes associated with them.</w:t>
      </w:r>
    </w:p>
    <w:p w14:paraId="57C0B889" w14:textId="77777777" w:rsidR="00806CA5" w:rsidRDefault="00806CA5" w:rsidP="00011168">
      <w:pPr>
        <w:pStyle w:val="Heading1"/>
        <w:sectPr w:rsidR="00806CA5" w:rsidSect="00943457">
          <w:footerReference w:type="default" r:id="rId20"/>
          <w:pgSz w:w="12240" w:h="15840"/>
          <w:pgMar w:top="1440" w:right="1440" w:bottom="1440" w:left="1440" w:header="720" w:footer="720" w:gutter="0"/>
          <w:cols w:space="720"/>
          <w:titlePg/>
          <w:docGrid w:linePitch="360"/>
        </w:sectPr>
      </w:pPr>
      <w:bookmarkStart w:id="30" w:name="_Appendix_A:_On"/>
      <w:bookmarkStart w:id="31" w:name="_Appendix_A:_Requirement"/>
      <w:bookmarkStart w:id="32" w:name="_Toc413650177"/>
      <w:bookmarkStart w:id="33" w:name="_Toc413414214"/>
      <w:bookmarkStart w:id="34" w:name="_Toc366501544"/>
      <w:bookmarkEnd w:id="30"/>
      <w:bookmarkEnd w:id="31"/>
    </w:p>
    <w:p w14:paraId="207D6F5C" w14:textId="53CF6E21" w:rsidR="008F71CD" w:rsidRDefault="008F71CD" w:rsidP="00011168">
      <w:pPr>
        <w:pStyle w:val="Heading1"/>
      </w:pPr>
      <w:bookmarkStart w:id="35" w:name="_Toc100908222"/>
      <w:r>
        <w:lastRenderedPageBreak/>
        <w:t>Technical Support</w:t>
      </w:r>
      <w:bookmarkEnd w:id="32"/>
      <w:bookmarkEnd w:id="33"/>
      <w:bookmarkEnd w:id="34"/>
      <w:bookmarkEnd w:id="35"/>
    </w:p>
    <w:p w14:paraId="0725DEBD" w14:textId="77777777" w:rsidR="008F71CD" w:rsidRDefault="008F71CD" w:rsidP="00011168">
      <w:pPr>
        <w:rPr>
          <w:rFonts w:cstheme="minorHAnsi"/>
          <w:szCs w:val="22"/>
        </w:rPr>
      </w:pPr>
      <w:r>
        <w:rPr>
          <w:rFonts w:cstheme="minorHAnsi"/>
          <w:szCs w:val="22"/>
        </w:rPr>
        <w:t>For technical support or a copy of our standard support agreement, please contact us.</w:t>
      </w:r>
    </w:p>
    <w:p w14:paraId="52DEA29F" w14:textId="77777777" w:rsidR="008F71CD" w:rsidRDefault="008F71CD" w:rsidP="00011168">
      <w:pPr>
        <w:rPr>
          <w:rFonts w:cstheme="minorHAnsi"/>
          <w:szCs w:val="22"/>
        </w:rPr>
      </w:pPr>
    </w:p>
    <w:p w14:paraId="5666D65F" w14:textId="77777777" w:rsidR="00DE459D" w:rsidRDefault="00DE459D" w:rsidP="00011168">
      <w:pPr>
        <w:spacing w:line="276" w:lineRule="auto"/>
      </w:pPr>
      <w:r>
        <w:rPr>
          <w:rFonts w:cstheme="minorHAnsi"/>
          <w:b/>
          <w:szCs w:val="22"/>
        </w:rPr>
        <w:t>Support Portal:</w:t>
      </w:r>
      <w:r>
        <w:rPr>
          <w:rFonts w:cstheme="minorHAnsi"/>
          <w:b/>
          <w:szCs w:val="22"/>
        </w:rPr>
        <w:tab/>
      </w:r>
      <w:r>
        <w:rPr>
          <w:rFonts w:cstheme="minorHAnsi"/>
          <w:b/>
          <w:szCs w:val="22"/>
        </w:rPr>
        <w:tab/>
      </w:r>
      <w:hyperlink r:id="rId21" w:history="1">
        <w:r w:rsidRPr="00904CA4">
          <w:rPr>
            <w:rStyle w:val="Hyperlink"/>
          </w:rPr>
          <w:t>https://bocada-support.force.com</w:t>
        </w:r>
      </w:hyperlink>
    </w:p>
    <w:p w14:paraId="643D6626" w14:textId="72132161" w:rsidR="00DE459D" w:rsidRDefault="008F71CD" w:rsidP="00011168">
      <w:pPr>
        <w:spacing w:line="276" w:lineRule="auto"/>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22" w:history="1">
        <w:r>
          <w:rPr>
            <w:rStyle w:val="Hyperlink"/>
            <w:rFonts w:cstheme="minorHAnsi"/>
            <w:szCs w:val="22"/>
          </w:rPr>
          <w:t>support@bocada.com</w:t>
        </w:r>
      </w:hyperlink>
      <w:r w:rsidR="00DE459D">
        <w:t xml:space="preserve"> </w:t>
      </w:r>
    </w:p>
    <w:p w14:paraId="2B04B12A" w14:textId="7550AA31" w:rsidR="00BA5CA4" w:rsidRPr="004856B6" w:rsidRDefault="00DE459D" w:rsidP="00011168">
      <w:pPr>
        <w:spacing w:line="276" w:lineRule="auto"/>
        <w:rPr>
          <w:rFonts w:cstheme="minorHAnsi"/>
          <w:szCs w:val="22"/>
        </w:rPr>
      </w:pPr>
      <w:r w:rsidRPr="009462C6">
        <w:rPr>
          <w:rFonts w:cstheme="minorHAnsi"/>
          <w:b/>
          <w:szCs w:val="22"/>
        </w:rPr>
        <w:t>Phone:</w:t>
      </w:r>
      <w:r>
        <w:rPr>
          <w:rFonts w:cstheme="minorHAnsi"/>
          <w:szCs w:val="22"/>
        </w:rPr>
        <w:tab/>
      </w:r>
      <w:r>
        <w:rPr>
          <w:rFonts w:cstheme="minorHAnsi"/>
          <w:szCs w:val="22"/>
        </w:rPr>
        <w:tab/>
      </w:r>
      <w:r>
        <w:rPr>
          <w:rFonts w:cstheme="minorHAnsi"/>
          <w:szCs w:val="22"/>
        </w:rPr>
        <w:tab/>
      </w:r>
      <w:r w:rsidR="00437917" w:rsidRPr="00437917">
        <w:rPr>
          <w:rFonts w:cstheme="minorHAnsi"/>
          <w:szCs w:val="22"/>
        </w:rPr>
        <w:t>+1-425-898-2400</w:t>
      </w:r>
    </w:p>
    <w:sectPr w:rsidR="00BA5CA4" w:rsidRPr="004856B6" w:rsidSect="00943457">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1207A" w14:textId="77777777" w:rsidR="00295985" w:rsidRDefault="00295985" w:rsidP="00266DAC">
      <w:r>
        <w:separator/>
      </w:r>
    </w:p>
  </w:endnote>
  <w:endnote w:type="continuationSeparator" w:id="0">
    <w:p w14:paraId="6842683B" w14:textId="77777777" w:rsidR="00295985" w:rsidRDefault="00295985" w:rsidP="0026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3306A74A" w:rsidR="00266DAC" w:rsidRPr="00BC50F0" w:rsidRDefault="00B55641" w:rsidP="00BC50F0">
    <w:pPr>
      <w:pStyle w:val="Footer"/>
      <w:jc w:val="both"/>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AB6F40">
          <w:rPr>
            <w:rFonts w:cstheme="minorHAnsi"/>
            <w:noProof/>
            <w:sz w:val="18"/>
            <w:szCs w:val="18"/>
          </w:rPr>
          <w:t>9</w:t>
        </w:r>
        <w:r w:rsidR="00BC50F0" w:rsidRPr="00BC50F0">
          <w:rPr>
            <w:rFonts w:cstheme="minorHAnsi"/>
            <w:noProof/>
            <w:sz w:val="18"/>
            <w:szCs w:val="18"/>
          </w:rPr>
          <w:fldChar w:fldCharType="end"/>
        </w:r>
      </w:sdtContent>
    </w:sdt>
    <w:r w:rsidR="00BC50F0">
      <w:tab/>
    </w:r>
    <w:r w:rsidR="00BC50F0">
      <w:tab/>
    </w:r>
    <w:r w:rsidR="00153642">
      <w:rPr>
        <w:rFonts w:cstheme="minorHAnsi"/>
        <w:i/>
        <w:sz w:val="18"/>
        <w:szCs w:val="18"/>
      </w:rPr>
      <w:t>CPM</w:t>
    </w:r>
    <w:r w:rsidR="00943457">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1FA8" w14:textId="50DAF7E6" w:rsidR="00806CA5" w:rsidRPr="001346F7" w:rsidRDefault="00806CA5" w:rsidP="00806CA5">
    <w:pPr>
      <w:rPr>
        <w:sz w:val="20"/>
        <w:szCs w:val="20"/>
      </w:rPr>
    </w:pPr>
    <w:r w:rsidRPr="1A32C70E">
      <w:rPr>
        <w:b/>
        <w:bCs/>
        <w:sz w:val="20"/>
        <w:szCs w:val="20"/>
      </w:rPr>
      <w:t>Copyright © 202</w:t>
    </w:r>
    <w:r w:rsidR="0046204F">
      <w:rPr>
        <w:b/>
        <w:bCs/>
        <w:sz w:val="20"/>
        <w:szCs w:val="20"/>
      </w:rPr>
      <w:t>2</w:t>
    </w:r>
    <w:r w:rsidRPr="1A32C70E">
      <w:rPr>
        <w:b/>
        <w:bCs/>
        <w:sz w:val="20"/>
        <w:szCs w:val="20"/>
      </w:rPr>
      <w:t xml:space="preserve"> Bocada LLC. </w:t>
    </w:r>
    <w:r w:rsidRPr="1A32C70E">
      <w:rPr>
        <w:sz w:val="20"/>
        <w:szCs w:val="20"/>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001A4DB2" w14:textId="77777777" w:rsidR="00806CA5" w:rsidRPr="001346F7" w:rsidRDefault="00806CA5" w:rsidP="00806CA5">
    <w:pPr>
      <w:rPr>
        <w:sz w:val="20"/>
        <w:szCs w:val="20"/>
      </w:rPr>
    </w:pPr>
  </w:p>
  <w:p w14:paraId="0C235B17" w14:textId="77777777" w:rsidR="00806CA5" w:rsidRPr="001346F7" w:rsidRDefault="00806CA5" w:rsidP="00806CA5">
    <w:pPr>
      <w:rPr>
        <w:sz w:val="20"/>
        <w:szCs w:val="20"/>
      </w:rPr>
    </w:pPr>
    <w:r w:rsidRPr="001346F7">
      <w:rPr>
        <w:sz w:val="20"/>
        <w:szCs w:val="20"/>
      </w:rPr>
      <w:t>Protected by U.S patents 6,640,217; 6,708,188; 6,745,210; 7,457,833; 7,469,264; 7,496,614; 8,407,227</w:t>
    </w:r>
  </w:p>
  <w:p w14:paraId="436A4864" w14:textId="77777777" w:rsidR="00806CA5" w:rsidRPr="001346F7" w:rsidRDefault="00806CA5" w:rsidP="00806CA5">
    <w:pPr>
      <w:rPr>
        <w:sz w:val="20"/>
        <w:szCs w:val="20"/>
      </w:rPr>
    </w:pPr>
  </w:p>
  <w:p w14:paraId="5F67EDAC" w14:textId="77777777" w:rsidR="00806CA5" w:rsidRPr="001346F7" w:rsidRDefault="00806CA5" w:rsidP="00806CA5">
    <w:pPr>
      <w:rPr>
        <w:sz w:val="20"/>
        <w:szCs w:val="20"/>
      </w:rPr>
    </w:pPr>
    <w:r w:rsidRPr="001346F7">
      <w:rPr>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3115C9BC" w14:textId="77777777" w:rsidR="00806CA5" w:rsidRPr="001346F7" w:rsidRDefault="00806CA5" w:rsidP="00806CA5">
    <w:pPr>
      <w:rPr>
        <w:sz w:val="20"/>
        <w:szCs w:val="20"/>
      </w:rPr>
    </w:pPr>
  </w:p>
  <w:p w14:paraId="1355D362" w14:textId="58A26E78" w:rsidR="00806CA5" w:rsidRDefault="00806CA5" w:rsidP="00806CA5">
    <w:pPr>
      <w:pStyle w:val="Footer"/>
      <w:rPr>
        <w:sz w:val="20"/>
        <w:szCs w:val="20"/>
      </w:rPr>
    </w:pPr>
    <w:r w:rsidRPr="1A32C70E">
      <w:rPr>
        <w:sz w:val="20"/>
        <w:szCs w:val="20"/>
      </w:rPr>
      <w:t xml:space="preserve">Bocada LLC reserves the right to make changes in the product design and documentation without reservation and without notification to its users. </w:t>
    </w:r>
    <w:r>
      <w:rPr>
        <w:sz w:val="20"/>
        <w:szCs w:val="20"/>
      </w:rPr>
      <w:fldChar w:fldCharType="begin"/>
    </w:r>
    <w:r>
      <w:rPr>
        <w:sz w:val="20"/>
        <w:szCs w:val="20"/>
      </w:rPr>
      <w:instrText xml:space="preserve"> SAVEDATE  \@ "yyyy-MM-dd"  \* MERGEFORMAT </w:instrText>
    </w:r>
    <w:r>
      <w:rPr>
        <w:sz w:val="20"/>
        <w:szCs w:val="20"/>
      </w:rPr>
      <w:fldChar w:fldCharType="separate"/>
    </w:r>
    <w:r w:rsidR="0059295A">
      <w:rPr>
        <w:noProof/>
        <w:sz w:val="20"/>
        <w:szCs w:val="20"/>
      </w:rPr>
      <w:t>2022-04-15</w:t>
    </w:r>
    <w:r>
      <w:rPr>
        <w:sz w:val="20"/>
        <w:szCs w:val="20"/>
      </w:rPr>
      <w:fldChar w:fldCharType="end"/>
    </w:r>
  </w:p>
  <w:p w14:paraId="3A144EA1" w14:textId="38193E45" w:rsidR="00806CA5" w:rsidRDefault="00806CA5" w:rsidP="00806CA5">
    <w:pPr>
      <w:pStyle w:val="Footer"/>
      <w:rPr>
        <w:sz w:val="20"/>
        <w:szCs w:val="20"/>
      </w:rPr>
    </w:pPr>
  </w:p>
  <w:p w14:paraId="3B76B75B" w14:textId="4F3FC4FE" w:rsidR="00806CA5" w:rsidRDefault="00806CA5" w:rsidP="00806CA5">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63F89" w14:textId="77777777" w:rsidR="00295985" w:rsidRDefault="00295985" w:rsidP="00266DAC">
      <w:r>
        <w:separator/>
      </w:r>
    </w:p>
  </w:footnote>
  <w:footnote w:type="continuationSeparator" w:id="0">
    <w:p w14:paraId="224442DC" w14:textId="77777777" w:rsidR="00295985" w:rsidRDefault="00295985" w:rsidP="00266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9AC"/>
    <w:multiLevelType w:val="hybridMultilevel"/>
    <w:tmpl w:val="D89C7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4A1F9B"/>
    <w:multiLevelType w:val="hybridMultilevel"/>
    <w:tmpl w:val="96FE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74DA5"/>
    <w:multiLevelType w:val="hybridMultilevel"/>
    <w:tmpl w:val="CB9EFF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B0A61"/>
    <w:multiLevelType w:val="hybridMultilevel"/>
    <w:tmpl w:val="B21427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944F5"/>
    <w:multiLevelType w:val="hybridMultilevel"/>
    <w:tmpl w:val="697E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E147C"/>
    <w:multiLevelType w:val="hybridMultilevel"/>
    <w:tmpl w:val="04A44F8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60F0"/>
    <w:multiLevelType w:val="hybridMultilevel"/>
    <w:tmpl w:val="39D2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80164"/>
    <w:multiLevelType w:val="hybridMultilevel"/>
    <w:tmpl w:val="1DF8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078AE"/>
    <w:multiLevelType w:val="hybridMultilevel"/>
    <w:tmpl w:val="F5A0A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6FF5"/>
    <w:multiLevelType w:val="hybridMultilevel"/>
    <w:tmpl w:val="AE7A0D1E"/>
    <w:lvl w:ilvl="0" w:tplc="F59C07C0">
      <w:start w:val="2"/>
      <w:numFmt w:val="bullet"/>
      <w:lvlText w:val=""/>
      <w:lvlJc w:val="left"/>
      <w:pPr>
        <w:ind w:left="720" w:hanging="360"/>
      </w:pPr>
      <w:rPr>
        <w:rFonts w:ascii="Symbol" w:eastAsia="MS P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B48F5"/>
    <w:multiLevelType w:val="hybridMultilevel"/>
    <w:tmpl w:val="E978202A"/>
    <w:lvl w:ilvl="0" w:tplc="8AA6960E">
      <w:start w:val="1"/>
      <w:numFmt w:val="decimal"/>
      <w:lvlText w:val="%1."/>
      <w:lvlJc w:val="left"/>
      <w:pPr>
        <w:ind w:left="720" w:hanging="360"/>
      </w:pPr>
      <w:rPr>
        <w:rFonts w:eastAsia="MS Mincho"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73872"/>
    <w:multiLevelType w:val="hybridMultilevel"/>
    <w:tmpl w:val="4680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A536D"/>
    <w:multiLevelType w:val="hybridMultilevel"/>
    <w:tmpl w:val="4886B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57461">
    <w:abstractNumId w:val="10"/>
  </w:num>
  <w:num w:numId="2" w16cid:durableId="352850934">
    <w:abstractNumId w:val="4"/>
  </w:num>
  <w:num w:numId="3" w16cid:durableId="799806233">
    <w:abstractNumId w:val="6"/>
  </w:num>
  <w:num w:numId="4" w16cid:durableId="1195462040">
    <w:abstractNumId w:val="11"/>
  </w:num>
  <w:num w:numId="5" w16cid:durableId="1557619772">
    <w:abstractNumId w:val="3"/>
  </w:num>
  <w:num w:numId="6" w16cid:durableId="1082489316">
    <w:abstractNumId w:val="12"/>
  </w:num>
  <w:num w:numId="7" w16cid:durableId="456220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446445">
    <w:abstractNumId w:val="14"/>
  </w:num>
  <w:num w:numId="9" w16cid:durableId="151721250">
    <w:abstractNumId w:val="0"/>
  </w:num>
  <w:num w:numId="10" w16cid:durableId="965282650">
    <w:abstractNumId w:val="7"/>
  </w:num>
  <w:num w:numId="11" w16cid:durableId="1233544237">
    <w:abstractNumId w:val="13"/>
  </w:num>
  <w:num w:numId="12" w16cid:durableId="101144681">
    <w:abstractNumId w:val="15"/>
  </w:num>
  <w:num w:numId="13" w16cid:durableId="2052606498">
    <w:abstractNumId w:val="8"/>
  </w:num>
  <w:num w:numId="14" w16cid:durableId="100607730">
    <w:abstractNumId w:val="5"/>
  </w:num>
  <w:num w:numId="15" w16cid:durableId="1183402636">
    <w:abstractNumId w:val="1"/>
  </w:num>
  <w:num w:numId="16" w16cid:durableId="230121713">
    <w:abstractNumId w:val="9"/>
  </w:num>
  <w:num w:numId="17" w16cid:durableId="2112385581">
    <w:abstractNumId w:val="2"/>
  </w:num>
  <w:num w:numId="18" w16cid:durableId="13512537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1168"/>
    <w:rsid w:val="00031196"/>
    <w:rsid w:val="000364E0"/>
    <w:rsid w:val="00040470"/>
    <w:rsid w:val="00071FCE"/>
    <w:rsid w:val="00073945"/>
    <w:rsid w:val="00092590"/>
    <w:rsid w:val="00092EDF"/>
    <w:rsid w:val="000D6A32"/>
    <w:rsid w:val="000F0D48"/>
    <w:rsid w:val="000F7242"/>
    <w:rsid w:val="001067A2"/>
    <w:rsid w:val="00107123"/>
    <w:rsid w:val="00107B3D"/>
    <w:rsid w:val="00153642"/>
    <w:rsid w:val="0017126C"/>
    <w:rsid w:val="00173855"/>
    <w:rsid w:val="00182ED8"/>
    <w:rsid w:val="0018696A"/>
    <w:rsid w:val="00193FEA"/>
    <w:rsid w:val="00195F30"/>
    <w:rsid w:val="001A38F6"/>
    <w:rsid w:val="001E5BD3"/>
    <w:rsid w:val="001F305B"/>
    <w:rsid w:val="001F7C47"/>
    <w:rsid w:val="00202742"/>
    <w:rsid w:val="00212561"/>
    <w:rsid w:val="00212575"/>
    <w:rsid w:val="00217F55"/>
    <w:rsid w:val="002210DB"/>
    <w:rsid w:val="00222FE5"/>
    <w:rsid w:val="00226CBD"/>
    <w:rsid w:val="00231358"/>
    <w:rsid w:val="002320BA"/>
    <w:rsid w:val="00233561"/>
    <w:rsid w:val="00246FEE"/>
    <w:rsid w:val="0025089D"/>
    <w:rsid w:val="0025566A"/>
    <w:rsid w:val="00266DAC"/>
    <w:rsid w:val="002674E0"/>
    <w:rsid w:val="00267F39"/>
    <w:rsid w:val="00273748"/>
    <w:rsid w:val="00286714"/>
    <w:rsid w:val="00293116"/>
    <w:rsid w:val="00295985"/>
    <w:rsid w:val="002A4345"/>
    <w:rsid w:val="002E55B2"/>
    <w:rsid w:val="002F531F"/>
    <w:rsid w:val="0030776F"/>
    <w:rsid w:val="00314B97"/>
    <w:rsid w:val="003228FF"/>
    <w:rsid w:val="00331AEB"/>
    <w:rsid w:val="00337537"/>
    <w:rsid w:val="003436E0"/>
    <w:rsid w:val="00344BF1"/>
    <w:rsid w:val="00351AF2"/>
    <w:rsid w:val="00354093"/>
    <w:rsid w:val="00354EBA"/>
    <w:rsid w:val="003577AD"/>
    <w:rsid w:val="00357D0F"/>
    <w:rsid w:val="00365C00"/>
    <w:rsid w:val="00377BFC"/>
    <w:rsid w:val="00381C99"/>
    <w:rsid w:val="00391D06"/>
    <w:rsid w:val="003949A3"/>
    <w:rsid w:val="00395632"/>
    <w:rsid w:val="003B156E"/>
    <w:rsid w:val="003C05A7"/>
    <w:rsid w:val="003C221B"/>
    <w:rsid w:val="003C40A9"/>
    <w:rsid w:val="003D0F68"/>
    <w:rsid w:val="003E24C8"/>
    <w:rsid w:val="00437917"/>
    <w:rsid w:val="0044226E"/>
    <w:rsid w:val="00445918"/>
    <w:rsid w:val="004527F5"/>
    <w:rsid w:val="00454ACC"/>
    <w:rsid w:val="0046204F"/>
    <w:rsid w:val="004628BD"/>
    <w:rsid w:val="004856B6"/>
    <w:rsid w:val="004868EE"/>
    <w:rsid w:val="00492B89"/>
    <w:rsid w:val="004A363B"/>
    <w:rsid w:val="004C41C9"/>
    <w:rsid w:val="004E07D7"/>
    <w:rsid w:val="004E6BDD"/>
    <w:rsid w:val="004F687B"/>
    <w:rsid w:val="00503E59"/>
    <w:rsid w:val="00505ACD"/>
    <w:rsid w:val="00505EB5"/>
    <w:rsid w:val="0051194C"/>
    <w:rsid w:val="00517B9F"/>
    <w:rsid w:val="00523340"/>
    <w:rsid w:val="005238BF"/>
    <w:rsid w:val="0054343D"/>
    <w:rsid w:val="00545A57"/>
    <w:rsid w:val="0056363C"/>
    <w:rsid w:val="0057783D"/>
    <w:rsid w:val="0059295A"/>
    <w:rsid w:val="005944EB"/>
    <w:rsid w:val="00594728"/>
    <w:rsid w:val="00594EDA"/>
    <w:rsid w:val="005C4C48"/>
    <w:rsid w:val="005D2E26"/>
    <w:rsid w:val="005E21AB"/>
    <w:rsid w:val="005E6E01"/>
    <w:rsid w:val="005F4795"/>
    <w:rsid w:val="005F6B42"/>
    <w:rsid w:val="00607343"/>
    <w:rsid w:val="00607836"/>
    <w:rsid w:val="006118A4"/>
    <w:rsid w:val="00636012"/>
    <w:rsid w:val="0063739E"/>
    <w:rsid w:val="00655C01"/>
    <w:rsid w:val="00657449"/>
    <w:rsid w:val="0066222F"/>
    <w:rsid w:val="00663AEA"/>
    <w:rsid w:val="00665A75"/>
    <w:rsid w:val="00680034"/>
    <w:rsid w:val="00687CDE"/>
    <w:rsid w:val="0069077D"/>
    <w:rsid w:val="006A034A"/>
    <w:rsid w:val="006C06CD"/>
    <w:rsid w:val="006E3F7B"/>
    <w:rsid w:val="0070521D"/>
    <w:rsid w:val="00714A97"/>
    <w:rsid w:val="00721FB6"/>
    <w:rsid w:val="007244E1"/>
    <w:rsid w:val="00751A9C"/>
    <w:rsid w:val="00757F27"/>
    <w:rsid w:val="0076751F"/>
    <w:rsid w:val="00780CCD"/>
    <w:rsid w:val="00783CE6"/>
    <w:rsid w:val="00792169"/>
    <w:rsid w:val="00792FBC"/>
    <w:rsid w:val="007B3762"/>
    <w:rsid w:val="007B6654"/>
    <w:rsid w:val="007C01F2"/>
    <w:rsid w:val="007F343E"/>
    <w:rsid w:val="007F35CD"/>
    <w:rsid w:val="007F585F"/>
    <w:rsid w:val="007F5A3F"/>
    <w:rsid w:val="00806CA5"/>
    <w:rsid w:val="00810029"/>
    <w:rsid w:val="008170F2"/>
    <w:rsid w:val="0083329E"/>
    <w:rsid w:val="00835C19"/>
    <w:rsid w:val="008403CC"/>
    <w:rsid w:val="00840B4A"/>
    <w:rsid w:val="00845C8C"/>
    <w:rsid w:val="0085343B"/>
    <w:rsid w:val="008639AD"/>
    <w:rsid w:val="00877CF2"/>
    <w:rsid w:val="008869A3"/>
    <w:rsid w:val="008934D7"/>
    <w:rsid w:val="00893E09"/>
    <w:rsid w:val="00895B75"/>
    <w:rsid w:val="008A52E2"/>
    <w:rsid w:val="008B1C6B"/>
    <w:rsid w:val="008B4CDC"/>
    <w:rsid w:val="008C2E95"/>
    <w:rsid w:val="008E765B"/>
    <w:rsid w:val="008F71CD"/>
    <w:rsid w:val="008F77F2"/>
    <w:rsid w:val="00906421"/>
    <w:rsid w:val="00927A18"/>
    <w:rsid w:val="00941BFA"/>
    <w:rsid w:val="00943457"/>
    <w:rsid w:val="00943517"/>
    <w:rsid w:val="009553ED"/>
    <w:rsid w:val="00961B30"/>
    <w:rsid w:val="00964869"/>
    <w:rsid w:val="009A637B"/>
    <w:rsid w:val="009B2B1F"/>
    <w:rsid w:val="009B40FB"/>
    <w:rsid w:val="009D0CF8"/>
    <w:rsid w:val="009D78B0"/>
    <w:rsid w:val="009E307F"/>
    <w:rsid w:val="009E782A"/>
    <w:rsid w:val="009F7AEE"/>
    <w:rsid w:val="00A04003"/>
    <w:rsid w:val="00A07CE2"/>
    <w:rsid w:val="00A20060"/>
    <w:rsid w:val="00A61E49"/>
    <w:rsid w:val="00A71389"/>
    <w:rsid w:val="00A820C2"/>
    <w:rsid w:val="00AB5066"/>
    <w:rsid w:val="00AB6F40"/>
    <w:rsid w:val="00AF2661"/>
    <w:rsid w:val="00AF6C79"/>
    <w:rsid w:val="00B10EB3"/>
    <w:rsid w:val="00B30366"/>
    <w:rsid w:val="00B319D7"/>
    <w:rsid w:val="00B40B77"/>
    <w:rsid w:val="00B55641"/>
    <w:rsid w:val="00B74A2E"/>
    <w:rsid w:val="00B947D8"/>
    <w:rsid w:val="00BA5CA4"/>
    <w:rsid w:val="00BC50F0"/>
    <w:rsid w:val="00BE71CA"/>
    <w:rsid w:val="00C06F8D"/>
    <w:rsid w:val="00C13F32"/>
    <w:rsid w:val="00C14DAC"/>
    <w:rsid w:val="00C14E7E"/>
    <w:rsid w:val="00C1595F"/>
    <w:rsid w:val="00C178F9"/>
    <w:rsid w:val="00C2076D"/>
    <w:rsid w:val="00C2239C"/>
    <w:rsid w:val="00C35E6A"/>
    <w:rsid w:val="00C70899"/>
    <w:rsid w:val="00C70CFE"/>
    <w:rsid w:val="00C97A41"/>
    <w:rsid w:val="00CA3129"/>
    <w:rsid w:val="00CA6135"/>
    <w:rsid w:val="00CA7D15"/>
    <w:rsid w:val="00CC10C1"/>
    <w:rsid w:val="00CE4414"/>
    <w:rsid w:val="00CE5A24"/>
    <w:rsid w:val="00CE7A8F"/>
    <w:rsid w:val="00CF782A"/>
    <w:rsid w:val="00D029DE"/>
    <w:rsid w:val="00D415AC"/>
    <w:rsid w:val="00D45D3C"/>
    <w:rsid w:val="00D619C8"/>
    <w:rsid w:val="00DA037D"/>
    <w:rsid w:val="00DA54CA"/>
    <w:rsid w:val="00DD0ACE"/>
    <w:rsid w:val="00DE32B0"/>
    <w:rsid w:val="00DE459D"/>
    <w:rsid w:val="00E17B1E"/>
    <w:rsid w:val="00E23431"/>
    <w:rsid w:val="00E410AD"/>
    <w:rsid w:val="00E51D2B"/>
    <w:rsid w:val="00E55565"/>
    <w:rsid w:val="00E60022"/>
    <w:rsid w:val="00E701A7"/>
    <w:rsid w:val="00E82036"/>
    <w:rsid w:val="00E97845"/>
    <w:rsid w:val="00ED0B89"/>
    <w:rsid w:val="00EE3D7A"/>
    <w:rsid w:val="00EE6037"/>
    <w:rsid w:val="00EE7238"/>
    <w:rsid w:val="00F230FB"/>
    <w:rsid w:val="00F419A4"/>
    <w:rsid w:val="00F43C47"/>
    <w:rsid w:val="00F91E86"/>
    <w:rsid w:val="00F948B4"/>
    <w:rsid w:val="00F94BAD"/>
    <w:rsid w:val="00FC0DE4"/>
    <w:rsid w:val="00FD0AF7"/>
    <w:rsid w:val="00FF5092"/>
    <w:rsid w:val="08E3757F"/>
    <w:rsid w:val="142E0588"/>
    <w:rsid w:val="1A32C70E"/>
    <w:rsid w:val="1AE6BDB3"/>
    <w:rsid w:val="218B3AD8"/>
    <w:rsid w:val="3D4C403A"/>
    <w:rsid w:val="4E66E7D7"/>
    <w:rsid w:val="60B70D1A"/>
    <w:rsid w:val="69B4F030"/>
    <w:rsid w:val="77EDD3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B79046"/>
  <w15:docId w15:val="{2D87CDA8-8F91-4D24-9250-BCDE9B9A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78F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314B97"/>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E3F7B"/>
    <w:pPr>
      <w:spacing w:before="100" w:beforeAutospacing="1" w:after="100" w:afterAutospacing="1"/>
      <w:contextualSpacing w:val="0"/>
    </w:pPr>
    <w:rPr>
      <w:rFonts w:ascii="Calibri" w:eastAsiaTheme="minorHAnsi" w:hAnsi="Calibri" w:cs="Calibri"/>
      <w:szCs w:val="22"/>
    </w:rPr>
  </w:style>
  <w:style w:type="character" w:customStyle="1" w:styleId="UnresolvedMention1">
    <w:name w:val="Unresolved Mention1"/>
    <w:basedOn w:val="DefaultParagraphFont"/>
    <w:uiPriority w:val="99"/>
    <w:semiHidden/>
    <w:unhideWhenUsed/>
    <w:rsid w:val="00655C01"/>
    <w:rPr>
      <w:color w:val="808080"/>
      <w:shd w:val="clear" w:color="auto" w:fill="E6E6E6"/>
    </w:rPr>
  </w:style>
  <w:style w:type="character" w:styleId="FollowedHyperlink">
    <w:name w:val="FollowedHyperlink"/>
    <w:basedOn w:val="DefaultParagraphFont"/>
    <w:uiPriority w:val="99"/>
    <w:semiHidden/>
    <w:unhideWhenUsed/>
    <w:rsid w:val="0051194C"/>
    <w:rPr>
      <w:color w:val="800080" w:themeColor="followedHyperlink"/>
      <w:u w:val="single"/>
    </w:rPr>
  </w:style>
  <w:style w:type="character" w:styleId="CommentReference">
    <w:name w:val="annotation reference"/>
    <w:basedOn w:val="DefaultParagraphFont"/>
    <w:uiPriority w:val="99"/>
    <w:semiHidden/>
    <w:unhideWhenUsed/>
    <w:rsid w:val="00226CBD"/>
    <w:rPr>
      <w:sz w:val="16"/>
      <w:szCs w:val="16"/>
    </w:rPr>
  </w:style>
  <w:style w:type="paragraph" w:styleId="CommentText">
    <w:name w:val="annotation text"/>
    <w:basedOn w:val="Normal"/>
    <w:link w:val="CommentTextChar"/>
    <w:uiPriority w:val="99"/>
    <w:semiHidden/>
    <w:unhideWhenUsed/>
    <w:rsid w:val="00226CBD"/>
    <w:rPr>
      <w:sz w:val="20"/>
      <w:szCs w:val="20"/>
    </w:rPr>
  </w:style>
  <w:style w:type="character" w:customStyle="1" w:styleId="CommentTextChar">
    <w:name w:val="Comment Text Char"/>
    <w:basedOn w:val="DefaultParagraphFont"/>
    <w:link w:val="CommentText"/>
    <w:uiPriority w:val="99"/>
    <w:semiHidden/>
    <w:rsid w:val="00226CBD"/>
    <w:rPr>
      <w:rFonts w:cs="Times New Roman"/>
      <w:sz w:val="20"/>
      <w:szCs w:val="20"/>
    </w:rPr>
  </w:style>
  <w:style w:type="paragraph" w:styleId="CommentSubject">
    <w:name w:val="annotation subject"/>
    <w:basedOn w:val="CommentText"/>
    <w:next w:val="CommentText"/>
    <w:link w:val="CommentSubjectChar"/>
    <w:uiPriority w:val="99"/>
    <w:semiHidden/>
    <w:unhideWhenUsed/>
    <w:rsid w:val="00226CBD"/>
    <w:rPr>
      <w:b/>
      <w:bCs/>
    </w:rPr>
  </w:style>
  <w:style w:type="character" w:customStyle="1" w:styleId="CommentSubjectChar">
    <w:name w:val="Comment Subject Char"/>
    <w:basedOn w:val="CommentTextChar"/>
    <w:link w:val="CommentSubject"/>
    <w:uiPriority w:val="99"/>
    <w:semiHidden/>
    <w:rsid w:val="00226CBD"/>
    <w:rPr>
      <w:rFonts w:cs="Times New Roman"/>
      <w:b/>
      <w:bCs/>
      <w:sz w:val="20"/>
      <w:szCs w:val="20"/>
    </w:rPr>
  </w:style>
  <w:style w:type="character" w:customStyle="1" w:styleId="Heading5Char">
    <w:name w:val="Heading 5 Char"/>
    <w:basedOn w:val="DefaultParagraphFont"/>
    <w:link w:val="Heading5"/>
    <w:uiPriority w:val="9"/>
    <w:rsid w:val="00C178F9"/>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2692">
      <w:bodyDiv w:val="1"/>
      <w:marLeft w:val="0"/>
      <w:marRight w:val="0"/>
      <w:marTop w:val="0"/>
      <w:marBottom w:val="0"/>
      <w:divBdr>
        <w:top w:val="none" w:sz="0" w:space="0" w:color="auto"/>
        <w:left w:val="none" w:sz="0" w:space="0" w:color="auto"/>
        <w:bottom w:val="none" w:sz="0" w:space="0" w:color="auto"/>
        <w:right w:val="none" w:sz="0" w:space="0" w:color="auto"/>
      </w:divBdr>
    </w:div>
    <w:div w:id="398359559">
      <w:bodyDiv w:val="1"/>
      <w:marLeft w:val="0"/>
      <w:marRight w:val="0"/>
      <w:marTop w:val="0"/>
      <w:marBottom w:val="0"/>
      <w:divBdr>
        <w:top w:val="none" w:sz="0" w:space="0" w:color="auto"/>
        <w:left w:val="none" w:sz="0" w:space="0" w:color="auto"/>
        <w:bottom w:val="none" w:sz="0" w:space="0" w:color="auto"/>
        <w:right w:val="none" w:sz="0" w:space="0" w:color="auto"/>
      </w:divBdr>
    </w:div>
    <w:div w:id="425077158">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917134776">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04077202">
      <w:bodyDiv w:val="1"/>
      <w:marLeft w:val="0"/>
      <w:marRight w:val="0"/>
      <w:marTop w:val="0"/>
      <w:marBottom w:val="0"/>
      <w:divBdr>
        <w:top w:val="none" w:sz="0" w:space="0" w:color="auto"/>
        <w:left w:val="none" w:sz="0" w:space="0" w:color="auto"/>
        <w:bottom w:val="none" w:sz="0" w:space="0" w:color="auto"/>
        <w:right w:val="none" w:sz="0" w:space="0" w:color="auto"/>
      </w:divBdr>
    </w:div>
    <w:div w:id="207311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bocada-support.forc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support@boca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2CF05F-00A4-49BD-B17D-50388250C710}">
  <ds:schemaRefs>
    <ds:schemaRef ds:uri="http://schemas.openxmlformats.org/officeDocument/2006/bibliography"/>
  </ds:schemaRefs>
</ds:datastoreItem>
</file>

<file path=customXml/itemProps2.xml><?xml version="1.0" encoding="utf-8"?>
<ds:datastoreItem xmlns:ds="http://schemas.openxmlformats.org/officeDocument/2006/customXml" ds:itemID="{D0CCFFA7-9728-4B96-BF5D-2491D9EBC67C}"/>
</file>

<file path=customXml/itemProps3.xml><?xml version="1.0" encoding="utf-8"?>
<ds:datastoreItem xmlns:ds="http://schemas.openxmlformats.org/officeDocument/2006/customXml" ds:itemID="{D2FB3BF1-6436-439D-B6E9-B57DBC7CF491}">
  <ds:schemaRefs>
    <ds:schemaRef ds:uri="http://schemas.microsoft.com/office/2006/metadata/properties"/>
    <ds:schemaRef ds:uri="287530da-d036-4e01-8d9f-60726ac42c4b"/>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222e3b99-5dbd-4b84-bbbd-a4351ce636e0"/>
    <ds:schemaRef ds:uri="http://www.w3.org/XML/1998/namespace"/>
    <ds:schemaRef ds:uri="http://purl.org/dc/terms/"/>
  </ds:schemaRefs>
</ds:datastoreItem>
</file>

<file path=customXml/itemProps4.xml><?xml version="1.0" encoding="utf-8"?>
<ds:datastoreItem xmlns:ds="http://schemas.openxmlformats.org/officeDocument/2006/customXml" ds:itemID="{0AD00198-2BBC-4218-B058-482C371F8D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Karen Hensley</cp:lastModifiedBy>
  <cp:revision>34</cp:revision>
  <cp:lastPrinted>2022-04-15T16:43:00Z</cp:lastPrinted>
  <dcterms:created xsi:type="dcterms:W3CDTF">2019-11-06T18:57:00Z</dcterms:created>
  <dcterms:modified xsi:type="dcterms:W3CDTF">2022-04-15T19:22:00Z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