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Sampling-Frame Audit · Real Otter Bend Cores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Return to cores_2027.csv. The 24 test results are real within the simulation; the 200-row file from H9-04 is not.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36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Evidence from cores_2027.csv</w:t>
            </w:r>
          </w:p>
        </w:tc>
        <w:tc>
          <w:tcPr>
            <w:tcW w:type="dxa" w:w="30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Consequence for the claim</w:t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Where could drilling equipment reach easily?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Which drill_zone appears in all 24 rows?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Which deck regions have zero observations?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Was selection random from the whole deck?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What population can these results describe?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Boundary  </w:t>
      </w:r>
      <w:r>
        <w:rPr>
          <w:rFonts w:ascii="Barlow" w:hAnsi="Barlow" w:cs="Barlow"/>
          <w:b w:val="0"/>
          <w:i w:val="0"/>
          <w:sz w:val="19"/>
        </w:rPr>
        <w:t>A convenience sample may contain useful measurements. It does not become random because it has 24 rows, and its mean does not automatically describe unobserved deck regions.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M09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M09  · 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2027-03-02T12:00:00Z</dcterms:created>
  <dcterms:modified xsi:type="dcterms:W3CDTF">2027-03-02T12:00:00Z</dcterms:modified>
  <cp:category/>
</cp:coreProperties>
</file>