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Decision Record · Unit 2 Note v2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Unit 2 standard  </w:t>
      </w:r>
      <w:r>
        <w:rPr>
          <w:rFonts w:ascii="Barlow" w:hAnsi="Barlow" w:cs="Barlow"/>
          <w:b w:val="0"/>
          <w:i w:val="0"/>
          <w:sz w:val="19"/>
        </w:rPr>
        <w:t>Three lines: the claim, the check, and what the check showed. Preserve useful scale without copying unsupported digits.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0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Student record</w:t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CLAIM — FOREMAN's remaining-life value and certainty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CHECK — Source resolution, test spread, and sampling basis checked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RESULT — Defensible reporting form and limitations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Decision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8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Action chosen</w:t>
            </w:r>
          </w:p>
        </w:tc>
        <w:tc>
          <w:tcPr>
            <w:tcW w:type="dxa" w:w="7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Hours</w:t>
            </w:r>
          </w:p>
        </w:tc>
        <w:tc>
          <w:tcPr>
            <w:tcW w:type="dxa" w:w="25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Evidence checked</w:t>
            </w:r>
          </w:p>
        </w:tc>
        <w:tc>
          <w:tcPr>
            <w:tcW w:type="dxa" w:w="25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Accepted unverified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M09 fatigue-life / core-sample claim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7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If this were project 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81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18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Project hours</w:t>
            </w:r>
          </w:p>
        </w:tc>
      </w:tr>
      <w:tr>
        <w:tc>
          <w:tcPr>
            <w:tcW w:type="dxa" w:w="81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Accept FOREMAN output as delivered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1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Spot-check one value against fatigue_tests.csv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81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Verify all calculations and the core sampling frame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81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Recompute independently and obtain a qualified fatigue review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M09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M09  ·  HAND-IN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2027-03-02T12:00:00Z</dcterms:created>
  <dcterms:modified xsi:type="dcterms:W3CDTF">2027-03-02T12:00:00Z</dcterms:modified>
  <cp:category/>
</cp:coreProperties>
</file>