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reveal  </w:t>
      </w:r>
      <w:r>
        <w:rPr>
          <w:rFonts w:ascii="Barlow" w:hAnsi="Barlow" w:cs="Barlow"/>
          <w:b w:val="0"/>
          <w:i w:val="0"/>
          <w:sz w:val="19"/>
        </w:rPr>
        <w:t>Do not identify the designed errors before students commit H12-01. Tiles A and B require redraws. Tile C is an acceptable comparison chart and prevents the hunt from being a wipeout.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materials  </w:t>
      </w:r>
      <w:r>
        <w:rPr>
          <w:rFonts w:ascii="Barlow" w:hAnsi="Barlow" w:cs="Barlow"/>
          <w:b w:val="0"/>
          <w:i w:val="0"/>
          <w:sz w:val="19"/>
        </w:rPr>
        <w:t>Distribute H12-01 and H12-02 first. Keep H12-03, the source CSVs, H12-04, this key, and the reveal deck closed until every student has committed all three initial dispositions.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Tile</w:t>
            </w:r>
          </w:p>
        </w:tc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Disposition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Reason</w:t>
            </w:r>
          </w:p>
        </w:tc>
        <w:tc>
          <w:tcPr>
            <w:tcW w:type="dxa" w:w="33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Model repair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A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 /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99.5–104.5 µε y-axis magnifies ordinary variation and supports a failure-sounding title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Show a zero or meaningfully broad contextual range; use a neutral title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B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 / PULL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Pie slices discard time order; readers cannot see the hourly pattern cleanly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Ordered bars or a line with hour on x and vehicles per hour on y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C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APPROVE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Category comparison uses bars, labeled counts, and a zero baseline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required repair; accessibility or labeling refinements are acceptable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redraws</w:t>
      </w:r>
    </w:p>
    <w:p>
      <w:r>
        <w:drawing>
          <wp:inline xmlns:a="http://schemas.openxmlformats.org/drawingml/2006/main" xmlns:pic="http://schemas.openxmlformats.org/drawingml/2006/picture">
            <wp:extent cx="608076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fix-A-honest-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8076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fix-B-hourly-b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Timing guard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Cloud-PASS durations total 80 minutes: Teach 20, Lab 30, Exam review 25, Note 5.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SEIS 201 course plan names a 75-minute meeting. Do not hide this five-minute mismatch.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Exam review remains a separate block after Lab; never take its first five minutes from Lab.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Before teaching, choose an approved accommodation such as a five-minute pre-class start or revised clock.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Canon and spoiler guard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Diane Halvorsen, PE is SKEPTIC; the county reads charts, not appendices.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Wes Tanaka, EIT delivers the shared-folder pack and does not co-solve.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FOREMAN is orange and looks publish-ready; human review is the skill.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introduce M13 handoff details or any Exam 1 overweight-permit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