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12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42"/>
        </w:rPr>
        <w:t>Exam 1 · Reference Sheet</w:t>
      </w:r>
    </w:p>
    <w:p>
      <w:pPr>
        <w:spacing w:before="120" w:after="160" w:line="276" w:lineRule="auto"/>
        <w:pBdr>
          <w:top w:val="single" w:sz="8" w:space="6" w:color="1F3A5F"/>
          <w:left w:val="single" w:sz="8" w:space="6" w:color="1F3A5F"/>
          <w:bottom w:val="single" w:sz="8" w:space="6" w:color="1F3A5F"/>
          <w:right w:val="single" w:sz="8" w:space="6" w:color="1F3A5F"/>
        </w:pBdr>
        <w:shd w:val="clear" w:fill="EEF3F8"/>
      </w:pPr>
      <w:r>
        <w:rPr>
          <w:rFonts w:ascii="Barlow Condensed" w:hAnsi="Barlow Condensed" w:cs="Barlow Condensed"/>
          <w:b/>
          <w:i w:val="0"/>
          <w:color w:val="2B2F36"/>
          <w:sz w:val="19"/>
          <w:caps w:val="1"/>
          <w:spacing w:val="10"/>
        </w:rPr>
        <w:t xml:space="preserve">Supplied values  </w:t>
      </w:r>
      <w:r>
        <w:rPr>
          <w:rFonts w:ascii="Barlow" w:hAnsi="Barlow" w:cs="Barlow"/>
          <w:b w:val="0"/>
          <w:i w:val="0"/>
          <w:sz w:val="19"/>
        </w:rPr>
        <w:t>For n = 8 valid repeated passes, df = 7 and t* = 2.365 for a two-sided 95% interval.</w:t>
      </w:r>
    </w:p>
    <w:p>
      <w:pPr>
        <w:spacing w:before="260" w:after="8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25"/>
          <w:caps w:val="1"/>
          <w:spacing w:val="12"/>
        </w:rPr>
        <w:t>Formulas</w:t>
      </w:r>
    </w:p>
    <w:p>
      <w:pPr>
        <w:spacing w:before="0" w:after="0" w:line="276" w:lineRule="auto"/>
        <w:ind w:left="86"/>
        <w:pBdr>
          <w:left w:val="single" w:sz="4" w:space="4" w:color="D5D9DE"/>
          <w:right w:val="single" w:sz="4" w:space="4" w:color="D5D9DE"/>
          <w:top w:val="single" w:sz="4" w:space="4" w:color="D5D9DE"/>
          <w:bottom w:val="nil" w:sz="0" w:space="4" w:color="D5D9DE"/>
        </w:pBdr>
        <w:shd w:val="clear" w:fill="F4F6F8"/>
      </w:pPr>
      <w:r>
        <w:rPr>
          <w:rFonts w:ascii="IBM Plex Mono" w:hAnsi="IBM Plex Mono" w:cs="IBM Plex Mono"/>
          <w:b w:val="0"/>
          <w:i w:val="0"/>
          <w:color w:val="2B2F36"/>
          <w:sz w:val="17"/>
        </w:rPr>
        <w:t>sample mean                 x̄ = Σxᵢ / n</w:t>
      </w:r>
    </w:p>
    <w:p>
      <w:pPr>
        <w:spacing w:before="0" w:after="0" w:line="276" w:lineRule="auto"/>
        <w:ind w:left="86"/>
        <w:pBdr>
          <w:left w:val="single" w:sz="4" w:space="4" w:color="D5D9DE"/>
          <w:right w:val="single" w:sz="4" w:space="4" w:color="D5D9DE"/>
          <w:top w:val="nil" w:sz="0" w:space="4" w:color="D5D9DE"/>
          <w:bottom w:val="nil" w:sz="0" w:space="4" w:color="D5D9DE"/>
        </w:pBdr>
        <w:shd w:val="clear" w:fill="F4F6F8"/>
      </w:pPr>
      <w:r>
        <w:rPr>
          <w:rFonts w:ascii="IBM Plex Mono" w:hAnsi="IBM Plex Mono" w:cs="IBM Plex Mono"/>
          <w:b w:val="0"/>
          <w:i w:val="0"/>
          <w:color w:val="2B2F36"/>
          <w:sz w:val="17"/>
        </w:rPr>
        <w:t>sample standard deviation  s = √[Σ(xᵢ − x̄)² / (n − 1)]</w:t>
      </w:r>
    </w:p>
    <w:p>
      <w:pPr>
        <w:spacing w:before="0" w:after="0" w:line="276" w:lineRule="auto"/>
        <w:ind w:left="86"/>
        <w:pBdr>
          <w:left w:val="single" w:sz="4" w:space="4" w:color="D5D9DE"/>
          <w:right w:val="single" w:sz="4" w:space="4" w:color="D5D9DE"/>
          <w:top w:val="nil" w:sz="0" w:space="4" w:color="D5D9DE"/>
          <w:bottom w:val="nil" w:sz="0" w:space="4" w:color="D5D9DE"/>
        </w:pBdr>
        <w:shd w:val="clear" w:fill="F4F6F8"/>
      </w:pPr>
      <w:r>
        <w:rPr>
          <w:rFonts w:ascii="IBM Plex Mono" w:hAnsi="IBM Plex Mono" w:cs="IBM Plex Mono"/>
          <w:b w:val="0"/>
          <w:i w:val="0"/>
          <w:color w:val="2B2F36"/>
          <w:sz w:val="17"/>
        </w:rPr>
        <w:t>standard error             SE = s / √n</w:t>
      </w:r>
    </w:p>
    <w:p>
      <w:pPr>
        <w:spacing w:before="0" w:after="0" w:line="276" w:lineRule="auto"/>
        <w:ind w:left="86"/>
        <w:pBdr>
          <w:left w:val="single" w:sz="4" w:space="4" w:color="D5D9DE"/>
          <w:right w:val="single" w:sz="4" w:space="4" w:color="D5D9DE"/>
          <w:top w:val="nil" w:sz="0" w:space="4" w:color="D5D9DE"/>
          <w:bottom w:val="nil" w:sz="0" w:space="4" w:color="D5D9DE"/>
        </w:pBdr>
        <w:shd w:val="clear" w:fill="F4F6F8"/>
      </w:pPr>
      <w:r>
        <w:rPr>
          <w:rFonts w:ascii="IBM Plex Mono" w:hAnsi="IBM Plex Mono" w:cs="IBM Plex Mono"/>
          <w:b w:val="0"/>
          <w:i w:val="0"/>
          <w:color w:val="2B2F36"/>
          <w:sz w:val="17"/>
        </w:rPr>
        <w:t>95% t interval             x̄ ± t* × SE</w:t>
      </w:r>
    </w:p>
    <w:p>
      <w:pPr>
        <w:spacing w:before="0" w:after="0" w:line="276" w:lineRule="auto"/>
        <w:ind w:left="86"/>
        <w:pBdr>
          <w:left w:val="single" w:sz="4" w:space="4" w:color="D5D9DE"/>
          <w:right w:val="single" w:sz="4" w:space="4" w:color="D5D9DE"/>
          <w:top w:val="nil" w:sz="0" w:space="4" w:color="D5D9DE"/>
          <w:bottom w:val="nil" w:sz="0" w:space="4" w:color="D5D9DE"/>
        </w:pBdr>
        <w:shd w:val="clear" w:fill="F4F6F8"/>
      </w:pPr>
      <w:r>
        <w:rPr>
          <w:rFonts w:ascii="IBM Plex Mono" w:hAnsi="IBM Plex Mono" w:cs="IBM Plex Mono"/>
          <w:b w:val="0"/>
          <w:i w:val="0"/>
          <w:color w:val="2B2F36"/>
          <w:sz w:val="17"/>
        </w:rPr>
        <w:t>load ratio                 requested permit load / reference test load</w:t>
      </w:r>
    </w:p>
    <w:p>
      <w:pPr>
        <w:spacing w:before="0" w:after="0" w:line="276" w:lineRule="auto"/>
        <w:ind w:left="86"/>
        <w:pBdr>
          <w:left w:val="single" w:sz="4" w:space="4" w:color="D5D9DE"/>
          <w:right w:val="single" w:sz="4" w:space="4" w:color="D5D9DE"/>
          <w:top w:val="nil" w:sz="0" w:space="4" w:color="D5D9DE"/>
          <w:bottom w:val="single" w:sz="4" w:space="4" w:color="D5D9DE"/>
        </w:pBdr>
        <w:shd w:val="clear" w:fill="F4F6F8"/>
      </w:pPr>
      <w:r>
        <w:rPr>
          <w:rFonts w:ascii="IBM Plex Mono" w:hAnsi="IBM Plex Mono" w:cs="IBM Plex Mono"/>
          <w:b w:val="0"/>
          <w:i w:val="0"/>
          <w:color w:val="2B2F36"/>
          <w:sz w:val="17"/>
        </w:rPr>
        <w:t>scaled interval            load ratio × [lower bound, upper bound]</w:t>
      </w:r>
    </w:p>
    <w:p>
      <w:pPr>
        <w:spacing w:before="260" w:after="8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25"/>
          <w:caps w:val="1"/>
          <w:spacing w:val="12"/>
        </w:rPr>
        <w:t>Interpretation guards</w:t>
      </w:r>
    </w:p>
    <w:p>
      <w:pPr>
        <w:pStyle w:val="ListBullet"/>
        <w:spacing w:after="60" w:line="269" w:lineRule="auto"/>
        <w:ind w:left="346"/>
      </w:pPr>
      <w:r>
        <w:rPr>
          <w:rFonts w:ascii="Barlow" w:hAnsi="Barlow" w:cs="Barlow"/>
          <w:b w:val="0"/>
          <w:i w:val="0"/>
          <w:sz w:val="20"/>
        </w:rPr>
        <w:t>A p-value is not needed for this exam.</w:t>
      </w:r>
    </w:p>
    <w:p>
      <w:pPr>
        <w:pStyle w:val="ListBullet"/>
        <w:spacing w:after="60" w:line="269" w:lineRule="auto"/>
        <w:ind w:left="346"/>
      </w:pPr>
      <w:r>
        <w:rPr>
          <w:rFonts w:ascii="Barlow" w:hAnsi="Barlow" w:cs="Barlow"/>
          <w:b w:val="0"/>
          <w:i w:val="0"/>
          <w:sz w:val="20"/>
        </w:rPr>
        <w:t>A completed calculation does not verify its source values or assumptions.</w:t>
      </w:r>
    </w:p>
    <w:p>
      <w:pPr>
        <w:pStyle w:val="ListBullet"/>
        <w:spacing w:after="60" w:line="269" w:lineRule="auto"/>
        <w:ind w:left="346"/>
      </w:pPr>
      <w:r>
        <w:rPr>
          <w:rFonts w:ascii="Barlow" w:hAnsi="Barlow" w:cs="Barlow"/>
          <w:b w:val="0"/>
          <w:i w:val="0"/>
          <w:sz w:val="20"/>
        </w:rPr>
        <w:t>A direct load ratio is a stated classroom screening simplification, not a bridge rating.</w:t>
      </w:r>
    </w:p>
    <w:p>
      <w:pPr>
        <w:pStyle w:val="ListBullet"/>
        <w:spacing w:after="60" w:line="269" w:lineRule="auto"/>
        <w:ind w:left="346"/>
      </w:pPr>
      <w:r>
        <w:rPr>
          <w:rFonts w:ascii="Barlow" w:hAnsi="Barlow" w:cs="Barlow"/>
          <w:b w:val="0"/>
          <w:i w:val="0"/>
          <w:sz w:val="20"/>
        </w:rPr>
        <w:t>The 240 µε value is an instructional escalation trigger, not a capacity limit.</w:t>
      </w:r>
    </w:p>
    <w:p>
      <w:pPr>
        <w:pStyle w:val="ListBullet"/>
        <w:spacing w:after="60" w:line="269" w:lineRule="auto"/>
        <w:ind w:left="346"/>
      </w:pPr>
      <w:r>
        <w:rPr>
          <w:rFonts w:ascii="Barlow" w:hAnsi="Barlow" w:cs="Barlow"/>
          <w:b w:val="0"/>
          <w:i w:val="0"/>
          <w:sz w:val="20"/>
        </w:rPr>
        <w:t>Report uncertainty and scope; do not turn one control gauge into a bridge-wide claim.</w:t>
      </w:r>
    </w:p>
    <w:p>
      <w:pPr>
        <w:spacing w:before="260" w:after="8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25"/>
          <w:caps w:val="1"/>
          <w:spacing w:val="12"/>
        </w:rPr>
        <w:t>Note version 2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4968"/>
        <w:gridCol w:w="4968"/>
      </w:tblGrid>
      <w:tr>
        <w:tc>
          <w:tcPr>
            <w:tcW w:type="dxa" w:w="1800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7"/>
              </w:rPr>
              <w:t>CLAIM</w:t>
            </w:r>
          </w:p>
        </w:tc>
        <w:tc>
          <w:tcPr>
            <w:tcW w:type="dxa" w:w="8136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7"/>
              </w:rPr>
              <w:t>The decision or statement being evaluated</w:t>
            </w:r>
          </w:p>
        </w:tc>
      </w:tr>
      <w:tr>
        <w:tc>
          <w:tcPr>
            <w:tcW w:type="dxa" w:w="180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CHECK</w:t>
            </w:r>
          </w:p>
        </w:tc>
        <w:tc>
          <w:tcPr>
            <w:tcW w:type="dxa" w:w="813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The source, data, calculation, or visual inspected</w:t>
            </w:r>
          </w:p>
        </w:tc>
      </w:tr>
      <w:tr>
        <w:tc>
          <w:tcPr>
            <w:tcW w:type="dxa" w:w="1800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RESULT</w:t>
            </w:r>
          </w:p>
        </w:tc>
        <w:tc>
          <w:tcPr>
            <w:tcW w:type="dxa" w:w="8136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What the check supports, with a number and spread or interval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224" w:right="1152" w:bottom="1152" w:left="1152" w:header="576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tabs>
        <w:tab w:val="right" w:pos="9936"/>
      </w:tabs>
    </w:pPr>
    <w:r>
      <w:rPr>
        <w:rFonts w:ascii="Barlow" w:hAnsi="Barlow" w:cs="Barlow"/>
        <w:b w:val="0"/>
        <w:i w:val="0"/>
        <w:color w:val="6B7280"/>
        <w:sz w:val="16"/>
      </w:rPr>
      <w:t>SEIS 201  ·  M14</w:t>
    </w:r>
    <w:r>
      <w:tab/>
    </w:r>
    <w:r>
      <w:rPr>
        <w:rFonts w:ascii="Barlow" w:hAnsi="Barlow"/>
        <w:color w:val="6B7280"/>
        <w:sz w:val="16"/>
      </w:rPr>
      <w:fldChar w:fldCharType="begin"/>
      <w:instrText xml:space="preserve"> PAGE </w:instrText>
      <w:fldChar w:fldCharType="end"/>
    </w:r>
    <w:r>
      <w:rPr>
        <w:rFonts w:ascii="Barlow" w:hAnsi="Barlow"/>
        <w:color w:val="6B7280"/>
        <w:sz w:val="16"/>
      </w:rPr>
      <w:t xml:space="preserve"> of </w:t>
    </w:r>
    <w:r>
      <w:rPr>
        <w:rFonts w:ascii="Barlow" w:hAnsi="Barlow"/>
        <w:color w:val="6B7280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pBdr>
        <w:bottom w:val="single" w:sz="6" w:space="4" w:color="C9CFD6"/>
      </w:pBdr>
    </w:pPr>
    <w:r>
      <w:rPr>
        <w:rFonts w:ascii="Barlow Condensed" w:hAnsi="Barlow Condensed" w:cs="Barlow Condensed"/>
        <w:b w:val="0"/>
        <w:i w:val="0"/>
        <w:color w:val="6B7280"/>
        <w:sz w:val="17"/>
        <w:caps w:val="1"/>
        <w:spacing w:val="20"/>
      </w:rPr>
      <w:t>SEIS 201  ·  AI FOR CE/ME ENGINEERS</w:t>
    </w:r>
    <w:r>
      <w:tab/>
      <w:tab/>
    </w:r>
    <w:r>
      <w:rPr>
        <w:rFonts w:ascii="Barlow Condensed" w:hAnsi="Barlow Condensed" w:cs="Barlow Condensed"/>
        <w:b w:val="0"/>
        <w:i w:val="0"/>
        <w:color w:val="6B7280"/>
        <w:sz w:val="17"/>
        <w:caps w:val="1"/>
        <w:spacing w:val="20"/>
      </w:rPr>
      <w:t>M14  ·  STUDENT COPY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Barlow" w:hAnsi="Barlow" w:eastAsia="Barlo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2027-03-18T12:00:00Z</dcterms:created>
  <dcterms:modified xsi:type="dcterms:W3CDTF">2027-03-18T12:00:00Z</dcterms:modified>
  <cp:category/>
</cp:coreProperties>
</file>