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Exam 1 · Answer Key and Reveal</w:t>
      </w:r>
    </w:p>
    <w:p>
      <w:pPr>
        <w:spacing w:before="120" w:after="160" w:line="276" w:lineRule="auto"/>
        <w:pBdr>
          <w:top w:val="single" w:sz="8" w:space="6" w:color="F26B1D"/>
          <w:left w:val="single" w:sz="8" w:space="6" w:color="F26B1D"/>
          <w:bottom w:val="single" w:sz="8" w:space="6" w:color="F26B1D"/>
          <w:right w:val="single" w:sz="8" w:space="6" w:color="F26B1D"/>
        </w:pBdr>
        <w:shd w:val="clear" w:fill="FFF1E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SAY HOLD  </w:t>
      </w:r>
      <w:r>
        <w:rPr>
          <w:rFonts w:ascii="Barlow" w:hAnsi="Barlow" w:cs="Barlow"/>
          <w:b w:val="0"/>
          <w:i w:val="0"/>
          <w:sz w:val="19"/>
        </w:rPr>
        <w:t>No Cloud-PASS SAY has been supplied. Use this document as a scoring key only. Do not treat any bracketed hook in the deck or run-of-day as approved spoken language.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Worked values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88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Quantity</w:t>
            </w:r>
          </w:p>
        </w:tc>
        <w:tc>
          <w:tcPr>
            <w:tcW w:type="dxa" w:w="604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Worked result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n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8 valid repeated passes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Mean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173.625 µε (reasonable report: 173.6 µε)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Sample standard deviation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11.600 µε (reasonable report: 11.6 µε)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Range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34.0 µε (156.0 to 190.0)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Standard error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4.101 µε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95% margin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9.699 µε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95% test-load interval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[163.9, 183.3] µε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Correct load ratio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104 / 80 = 1.30 (30% above the test load)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Scaled mean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225.7 µε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Scaled 95% interval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[213.1, 238.3] µε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Designed FOREMAN failures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Source / denominator error: FOREMAN states 25% and uses 1.25. The source values require 104 / 80 = 1.30.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Uncertainty omission: the recommendation and chart show only a projected average.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Visual framing: the chart begins at 200 µε, visually magnifying the bar-to-trigger comparison.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Scope overreach: one control gauge under one test condition is presented as sufficient for approval.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Automation closure: COMPLETE suppresses the need for a human escalation condition.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Defensible calls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230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Call</w:t>
            </w:r>
          </w:p>
        </w:tc>
        <w:tc>
          <w:tcPr>
            <w:tcW w:type="dxa" w:w="763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Evidence-based form</w:t>
            </w:r>
          </w:p>
        </w:tc>
      </w:tr>
      <w:tr>
        <w:tc>
          <w:tcPr>
            <w:tcW w:type="dxa" w:w="23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YES WITH CONDITIONS</w:t>
            </w:r>
          </w:p>
        </w:tc>
        <w:tc>
          <w:tcPr>
            <w:tcW w:type="dxa" w:w="763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Plausible because the scaled 95% upper bound is about 238.3 µε, below the 240 µε instructional trigger; retain the stated 10 mph / center-lane / one-crossing conditions and require PE review or monitoring.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NO / HOLD</w:t>
            </w:r>
          </w:p>
        </w:tc>
        <w:tc>
          <w:tcPr>
            <w:tcW w:type="dxa" w:w="763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Plausible because the interval nearly reaches the trigger, direct linear scaling is unverified, and one gauge / one test condition does not establish bridge-wide capacity. Escalate rather than approve from this record.</w:t>
            </w:r>
          </w:p>
        </w:tc>
      </w:tr>
      <w:tr>
        <w:tc>
          <w:tcPr>
            <w:tcW w:type="dxa" w:w="23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YES</w:t>
            </w:r>
          </w:p>
        </w:tc>
        <w:tc>
          <w:tcPr>
            <w:tcW w:type="dxa" w:w="763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Credit only if the student keeps the same narrow screening scope, states assumptions, and supplies explicit escalation conditions; an unqualified safety claim is not supported.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Technical and canon boundaries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All values and the 240 µε trigger are fictional instructional scaffolds requiring engineering/statistics review before classroom use.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The direct ratio is a provided exam simplification, not a validated load-rating method.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Diane Halvorsen, PE is unreachable; her opinion is not an answer key.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Wes Tanaka, EIT does not appear or co-solve in the exam.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FOREMAN is the only machine voice and remains orange.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Do not reveal later-unit verification methods, callbacks, outcomes, or semester decisions.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M14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M14  ·  INSTRUCTOR ONLY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2027-03-18T12:00:00Z</dcterms:created>
  <dcterms:modified xsi:type="dcterms:W3CDTF">2027-03-18T12:00:00Z</dcterms:modified>
  <cp:category/>
</cp:coreProperties>
</file>